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1805">
      <w:pPr>
        <w:jc w:val="center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7323ED40">
      <w:pPr>
        <w:jc w:val="center"/>
        <w:rPr>
          <w:b/>
          <w:bCs/>
          <w:sz w:val="23"/>
          <w:szCs w:val="23"/>
          <w:lang w:val="uk-UA"/>
        </w:rPr>
      </w:pPr>
    </w:p>
    <w:p w14:paraId="6851AA82">
      <w:pPr>
        <w:ind w:firstLine="708"/>
        <w:jc w:val="both"/>
        <w:rPr>
          <w:b/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На виконання п.4-1 постанови Кабінету Міністрів України від 11.10.2016 року №710, із змінами та доповненнями, щодо </w:t>
      </w:r>
      <w:r>
        <w:rPr>
          <w:rFonts w:eastAsia="Calibri"/>
          <w:sz w:val="23"/>
          <w:szCs w:val="23"/>
          <w:lang w:val="uk-UA"/>
        </w:rPr>
        <w:t>забезпеч</w:t>
      </w:r>
      <w:r>
        <w:rPr>
          <w:sz w:val="23"/>
          <w:szCs w:val="23"/>
          <w:lang w:val="uk-UA"/>
        </w:rPr>
        <w:t>ення</w:t>
      </w:r>
      <w:r>
        <w:rPr>
          <w:rFonts w:eastAsia="Calibri"/>
          <w:sz w:val="23"/>
          <w:szCs w:val="23"/>
          <w:lang w:val="uk-UA"/>
        </w:rPr>
        <w:t xml:space="preserve"> </w:t>
      </w:r>
      <w:r>
        <w:rPr>
          <w:color w:val="333333"/>
          <w:sz w:val="23"/>
          <w:szCs w:val="23"/>
          <w:lang w:val="uk-UA"/>
        </w:rPr>
        <w:t>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</w:t>
      </w:r>
      <w:r>
        <w:rPr>
          <w:b/>
          <w:sz w:val="23"/>
          <w:szCs w:val="23"/>
          <w:lang w:val="uk-UA"/>
        </w:rPr>
        <w:t>:</w:t>
      </w:r>
    </w:p>
    <w:p w14:paraId="1797714E">
      <w:pPr>
        <w:rPr>
          <w:b/>
          <w:bCs/>
          <w:sz w:val="23"/>
          <w:szCs w:val="23"/>
          <w:lang w:val="uk-UA"/>
        </w:rPr>
      </w:pPr>
    </w:p>
    <w:p w14:paraId="55847DCB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1.    Найменування:</w:t>
      </w:r>
      <w:r>
        <w:rPr>
          <w:b/>
          <w:bCs/>
          <w:color w:val="000000"/>
          <w:sz w:val="23"/>
          <w:szCs w:val="23"/>
          <w:lang w:val="uk-UA"/>
        </w:rPr>
        <w:t>Виконком Саксаганської сільської ради Кам`янського р-ну Дніпропетровської області</w:t>
      </w:r>
    </w:p>
    <w:p w14:paraId="63F408A4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2.    Місце знаходження: </w:t>
      </w:r>
      <w:r>
        <w:rPr>
          <w:b/>
          <w:bCs/>
          <w:sz w:val="23"/>
          <w:szCs w:val="23"/>
          <w:lang w:val="uk-UA"/>
        </w:rPr>
        <w:t>вул. Центральна, 14, с. Саксагань, Дніпропетровська область, 52173</w:t>
      </w:r>
    </w:p>
    <w:p w14:paraId="712EBBA8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3.    Код ЄДРПОУ: </w:t>
      </w:r>
      <w:r>
        <w:rPr>
          <w:b/>
          <w:bCs/>
          <w:color w:val="000000"/>
          <w:sz w:val="23"/>
          <w:szCs w:val="23"/>
          <w:lang w:val="uk-UA"/>
        </w:rPr>
        <w:t>41845765</w:t>
      </w:r>
    </w:p>
    <w:p w14:paraId="52E076A2">
      <w:pPr>
        <w:rPr>
          <w:b/>
          <w:bCs/>
          <w:color w:val="000000"/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4.    Категорія предмета закупівлі: </w:t>
      </w:r>
      <w:r>
        <w:rPr>
          <w:b/>
          <w:bCs/>
          <w:color w:val="000000"/>
          <w:sz w:val="23"/>
          <w:szCs w:val="23"/>
          <w:lang w:val="uk-UA"/>
        </w:rPr>
        <w:t>Товари.</w:t>
      </w:r>
    </w:p>
    <w:p w14:paraId="1D8558BA">
      <w:pPr>
        <w:rPr>
          <w:rFonts w:hint="default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  <w:lang w:val="uk-UA"/>
        </w:rPr>
      </w:pPr>
      <w:r>
        <w:rPr>
          <w:sz w:val="23"/>
          <w:szCs w:val="23"/>
          <w:lang w:val="uk-UA"/>
        </w:rPr>
        <w:t xml:space="preserve">5.    Назва предмету закупівлі із зазначенням коду за Єдиним закупівельним словником: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instrText xml:space="preserve"> HYPERLINK "https://my.zakupivli.pro/cabinet/purchases/state_purchase/view/67182201"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separate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  <w:lang w:val="uk-UA"/>
        </w:rPr>
        <w:t>п</w:t>
      </w:r>
      <w:r>
        <w:rPr>
          <w:rStyle w:val="5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vertAlign w:val="baseline"/>
        </w:rPr>
        <w:t>ально-мастильні матеріали відповідно до Єдиного закупівельного словника код ДК 021:2015: 09130000-9 - "Нафта і дистиляти"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</w:rPr>
        <w:fldChar w:fldCharType="end"/>
      </w:r>
      <w:r>
        <w:rPr>
          <w:rFonts w:hint="default" w:eastAsia="SimSun" w:cs="Times New Roman"/>
          <w:i w:val="0"/>
          <w:iCs w:val="0"/>
          <w:caps w:val="0"/>
          <w:color w:val="00A1CD"/>
          <w:spacing w:val="0"/>
          <w:sz w:val="24"/>
          <w:szCs w:val="24"/>
          <w:u w:val="single"/>
          <w:shd w:val="clear" w:fill="FFFFFF"/>
          <w:vertAlign w:val="baseline"/>
          <w:lang w:val="uk-UA"/>
        </w:rPr>
        <w:t>.</w:t>
      </w:r>
    </w:p>
    <w:p w14:paraId="55C716E7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6.    Дата оголошення:</w:t>
      </w:r>
      <w:r>
        <w:rPr>
          <w:b/>
          <w:bCs/>
          <w:sz w:val="23"/>
          <w:szCs w:val="23"/>
          <w:lang w:val="uk-UA"/>
        </w:rPr>
        <w:t>березень</w:t>
      </w:r>
      <w:r>
        <w:rPr>
          <w:rFonts w:hint="default"/>
          <w:b/>
          <w:bCs/>
          <w:sz w:val="23"/>
          <w:szCs w:val="23"/>
          <w:lang w:val="uk-UA"/>
        </w:rPr>
        <w:t xml:space="preserve"> 2026 </w:t>
      </w:r>
      <w:r>
        <w:rPr>
          <w:b/>
          <w:bCs/>
          <w:color w:val="000000"/>
          <w:sz w:val="23"/>
          <w:szCs w:val="23"/>
          <w:lang w:val="uk-UA"/>
        </w:rPr>
        <w:t>року</w:t>
      </w:r>
    </w:p>
    <w:p w14:paraId="29EB83A8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7.    Процедура закупівлі: </w:t>
      </w:r>
      <w:r>
        <w:rPr>
          <w:b/>
          <w:bCs/>
          <w:sz w:val="23"/>
          <w:szCs w:val="23"/>
          <w:lang w:val="uk-UA"/>
        </w:rPr>
        <w:t xml:space="preserve">відкриті торги з особливостями </w:t>
      </w:r>
    </w:p>
    <w:p w14:paraId="59D521D0">
      <w:pPr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8.    Ідентифікатори в електронній системі публічних закупівель:</w:t>
      </w:r>
    </w:p>
    <w:p w14:paraId="5C37E0FA">
      <w:pPr>
        <w:pStyle w:val="7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</w:pPr>
      <w:r>
        <w:rPr>
          <w:rFonts w:ascii="Times New Roman" w:hAnsi="Times New Roman"/>
          <w:sz w:val="23"/>
          <w:szCs w:val="23"/>
          <w:lang w:val="uk-UA"/>
        </w:rPr>
        <w:t>8.1. Ідентифікато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 плану: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instrText xml:space="preserve"> HYPERLINK "https://my.zakupivli.pro/cabinet/purchases/state_plan/view/35151587" \t "_blank" </w:instrTex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UA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  <w:t>-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P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  <w:t>-2025-09-26-010025-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t>a</w:t>
      </w:r>
      <w:r>
        <w:rPr>
          <w:rStyle w:val="5"/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14:paraId="742FF294">
      <w:pPr>
        <w:pStyle w:val="7"/>
        <w:jc w:val="left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uk-UA"/>
        </w:rPr>
        <w:t>8.2. Ідентифікатор закупівлі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uk-UA"/>
        </w:rPr>
        <w:t xml:space="preserve">: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UA-2026-03-30-009335-a</w:t>
      </w:r>
    </w:p>
    <w:p w14:paraId="00656798">
      <w:pPr>
        <w:pStyle w:val="7"/>
        <w:jc w:val="left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9.    Інформація про технічні, якісні та інші характеристики предмета закупівлі: </w:t>
      </w:r>
      <w:r>
        <w:rPr>
          <w:b/>
          <w:bCs/>
          <w:sz w:val="23"/>
          <w:szCs w:val="23"/>
          <w:lang w:val="uk-UA"/>
        </w:rPr>
        <w:t xml:space="preserve">Зазначено у додатку </w:t>
      </w:r>
      <w:r>
        <w:rPr>
          <w:rFonts w:hint="default"/>
          <w:b/>
          <w:bCs/>
          <w:sz w:val="23"/>
          <w:szCs w:val="23"/>
          <w:lang w:val="uk-UA"/>
        </w:rPr>
        <w:t xml:space="preserve">4 </w:t>
      </w:r>
      <w:r>
        <w:rPr>
          <w:b/>
          <w:bCs/>
          <w:sz w:val="23"/>
          <w:szCs w:val="23"/>
          <w:lang w:val="uk-UA"/>
        </w:rPr>
        <w:t>до тендерної документації.</w:t>
      </w:r>
    </w:p>
    <w:p w14:paraId="61533CFB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10.  </w:t>
      </w:r>
      <w:r>
        <w:rPr>
          <w:b/>
          <w:sz w:val="23"/>
          <w:szCs w:val="23"/>
          <w:lang w:val="uk-UA"/>
        </w:rPr>
        <w:t>Обґрунтування технічних та якісних характеристик предмета закупівлі:</w:t>
      </w:r>
      <w:r>
        <w:rPr>
          <w:sz w:val="23"/>
          <w:szCs w:val="23"/>
          <w:lang w:val="uk-UA"/>
        </w:rPr>
        <w:t xml:space="preserve"> </w:t>
      </w:r>
    </w:p>
    <w:p w14:paraId="2EA1127B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Відповідність стандартам: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Бензин автомобільний повинен відповідати Технічному регламенту щодо вимог до автомобільних бензинів, дизельного, суднових та котельних палив, затвердженого Постановою КМУ від 01.08.2013 № 927.</w:t>
      </w:r>
    </w:p>
    <w:p w14:paraId="7DB31C69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Якість: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Пальне має відповідати ДСТУ 7687:2015 "Бензини автомобільні Євро" та вимогам до екологічного класу Євро-5.</w:t>
      </w:r>
    </w:p>
    <w:p w14:paraId="75E375A4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Фізико-хімічні показники: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Октанове число (не менше 95 для А-95), фракційний склад, густина, низький вміст сірки (не більше 10 мг/кг), що забезпечує довговічність двигунів.</w:t>
      </w:r>
    </w:p>
    <w:p w14:paraId="6725A694">
      <w:pPr>
        <w:keepNext w:val="0"/>
        <w:keepLines w:val="0"/>
        <w:pageBreakBefore w:val="0"/>
        <w:widowControl/>
        <w:suppressLineNumbers w:val="0"/>
        <w:pBdr>
          <w:bottom w:val="none" w:color="0A0A0A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right="0"/>
        <w:textAlignment w:val="auto"/>
        <w:rPr>
          <w:rFonts w:hint="default" w:ascii="Times New Roman" w:hAnsi="Times New Roman" w:eastAsia="Arial" w:cs="Times New Roman"/>
          <w:sz w:val="24"/>
          <w:szCs w:val="24"/>
          <w:u w:val="none"/>
        </w:rPr>
      </w:pPr>
      <w:r>
        <w:rPr>
          <w:rFonts w:hint="default" w:ascii="Times New Roman" w:hAnsi="Times New Roman" w:eastAsia="Symbol" w:cs="Times New Roman"/>
          <w:sz w:val="24"/>
          <w:szCs w:val="24"/>
        </w:rPr>
        <w:t>·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</w:t>
      </w:r>
      <w:r>
        <w:rPr>
          <w:rStyle w:val="6"/>
          <w:rFonts w:hint="default" w:ascii="Times New Roman" w:hAnsi="Times New Roman" w:eastAsia="Arial" w:cs="Times New Roman"/>
          <w:b/>
          <w:bCs/>
          <w:sz w:val="24"/>
          <w:szCs w:val="24"/>
          <w:u w:val="none"/>
        </w:rPr>
        <w:t>Документальне підтвердження:</w:t>
      </w:r>
      <w:r>
        <w:rPr>
          <w:rFonts w:hint="default" w:ascii="Times New Roman" w:hAnsi="Times New Roman" w:eastAsia="Arial" w:cs="Times New Roman"/>
          <w:sz w:val="24"/>
          <w:szCs w:val="24"/>
          <w:u w:val="none"/>
        </w:rPr>
        <w:t xml:space="preserve"> Кожна партія пального має супроводжуватися паспортом якості виробника та/або сертифікатом відповідності.</w:t>
      </w:r>
    </w:p>
    <w:p w14:paraId="52216CCA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11.   Строк поставки товарів: </w:t>
      </w:r>
      <w:r>
        <w:rPr>
          <w:rFonts w:hint="default"/>
          <w:sz w:val="23"/>
          <w:szCs w:val="23"/>
          <w:lang w:val="uk-UA"/>
        </w:rPr>
        <w:t xml:space="preserve"> до 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31</w:t>
      </w:r>
      <w:r>
        <w:rPr>
          <w:b/>
          <w:bCs/>
          <w:color w:val="000000"/>
          <w:sz w:val="23"/>
          <w:szCs w:val="23"/>
          <w:lang w:val="uk-UA"/>
        </w:rPr>
        <w:t>.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12</w:t>
      </w:r>
      <w:r>
        <w:rPr>
          <w:b/>
          <w:bCs/>
          <w:color w:val="000000"/>
          <w:sz w:val="23"/>
          <w:szCs w:val="23"/>
          <w:lang w:val="uk-UA"/>
        </w:rPr>
        <w:t>.202</w:t>
      </w:r>
      <w:r>
        <w:rPr>
          <w:rFonts w:hint="default"/>
          <w:b/>
          <w:bCs/>
          <w:color w:val="000000"/>
          <w:sz w:val="23"/>
          <w:szCs w:val="23"/>
          <w:lang w:val="uk-UA"/>
        </w:rPr>
        <w:t>6</w:t>
      </w:r>
      <w:r>
        <w:rPr>
          <w:b/>
          <w:bCs/>
          <w:color w:val="000000"/>
          <w:sz w:val="23"/>
          <w:szCs w:val="23"/>
          <w:lang w:val="uk-UA"/>
        </w:rPr>
        <w:t xml:space="preserve"> року</w:t>
      </w:r>
    </w:p>
    <w:p w14:paraId="33CD303C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12. Очікувана вартість предмета закупівлі: </w:t>
      </w:r>
      <w:r>
        <w:rPr>
          <w:rFonts w:hint="default"/>
          <w:b/>
          <w:bCs/>
          <w:sz w:val="23"/>
          <w:szCs w:val="23"/>
          <w:lang w:val="uk-UA"/>
        </w:rPr>
        <w:t>378000,00</w:t>
      </w:r>
      <w:r>
        <w:rPr>
          <w:b/>
          <w:bCs/>
          <w:sz w:val="23"/>
          <w:szCs w:val="23"/>
          <w:lang w:val="uk-UA"/>
        </w:rPr>
        <w:t xml:space="preserve"> грн. (Триста</w:t>
      </w:r>
      <w:r>
        <w:rPr>
          <w:rFonts w:hint="default"/>
          <w:b/>
          <w:bCs/>
          <w:sz w:val="23"/>
          <w:szCs w:val="23"/>
          <w:lang w:val="uk-UA"/>
        </w:rPr>
        <w:t xml:space="preserve"> сімдесят вісім </w:t>
      </w:r>
      <w:r>
        <w:rPr>
          <w:b/>
          <w:bCs/>
          <w:sz w:val="23"/>
          <w:szCs w:val="23"/>
          <w:lang w:val="uk-UA"/>
        </w:rPr>
        <w:t xml:space="preserve">гривень </w:t>
      </w:r>
      <w:r>
        <w:rPr>
          <w:rFonts w:hint="default"/>
          <w:b/>
          <w:bCs/>
          <w:sz w:val="23"/>
          <w:szCs w:val="23"/>
          <w:lang w:val="uk-UA"/>
        </w:rPr>
        <w:t>00</w:t>
      </w:r>
      <w:r>
        <w:rPr>
          <w:b/>
          <w:bCs/>
          <w:sz w:val="23"/>
          <w:szCs w:val="23"/>
          <w:lang w:val="uk-UA"/>
        </w:rPr>
        <w:t xml:space="preserve"> копійок ) згідно з кошторисними призначеннями на 202</w:t>
      </w:r>
      <w:r>
        <w:rPr>
          <w:rFonts w:hint="default"/>
          <w:b/>
          <w:bCs/>
          <w:sz w:val="23"/>
          <w:szCs w:val="23"/>
          <w:lang w:val="uk-UA"/>
        </w:rPr>
        <w:t>6</w:t>
      </w:r>
      <w:r>
        <w:rPr>
          <w:b/>
          <w:bCs/>
          <w:sz w:val="23"/>
          <w:szCs w:val="23"/>
          <w:lang w:val="uk-UA"/>
        </w:rPr>
        <w:t xml:space="preserve"> рік.</w:t>
      </w:r>
    </w:p>
    <w:p w14:paraId="7ACECDBB">
      <w:pPr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13.  Обґрунтування очікуваної вартості предмета закупівлі:</w:t>
      </w:r>
    </w:p>
    <w:p w14:paraId="5113D449">
      <w:pPr>
        <w:ind w:left="0" w:leftChars="0" w:firstLine="0" w:firstLineChars="0"/>
        <w:jc w:val="both"/>
        <w:rPr>
          <w:rFonts w:cs="Times New Roman"/>
          <w:b/>
          <w:bCs/>
          <w:szCs w:val="28"/>
          <w:lang w:val="uk-UA"/>
        </w:rPr>
      </w:pPr>
      <w:r>
        <w:rPr>
          <w:sz w:val="23"/>
          <w:szCs w:val="23"/>
        </w:rPr>
        <w:t xml:space="preserve">         </w:t>
      </w:r>
      <w:r>
        <w:rPr>
          <w:b/>
          <w:bCs/>
          <w:szCs w:val="28"/>
          <w:lang w:val="uk-UA"/>
        </w:rPr>
        <w:t>За результатами дослідження цін на бензин марки А-95 на сайті  Мінфіна України (https://index.minfin.com.ua/markets/fuel/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"https://index.minfin.com.ua/ua/markets/fuel/reg/dnepropetrovskaya/" </w:instrText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  <w:szCs w:val="28"/>
          <w:lang w:val="uk-UA"/>
        </w:rPr>
        <w:t xml:space="preserve">) встановлено, що станом на </w:t>
      </w:r>
      <w:r>
        <w:rPr>
          <w:rFonts w:hint="default"/>
          <w:b/>
          <w:bCs/>
          <w:szCs w:val="28"/>
          <w:lang w:val="uk-UA"/>
        </w:rPr>
        <w:t>30.03.2026</w:t>
      </w:r>
      <w:r>
        <w:rPr>
          <w:b/>
          <w:bCs/>
          <w:szCs w:val="28"/>
          <w:lang w:val="uk-UA"/>
        </w:rPr>
        <w:t xml:space="preserve"> року середня ціна в Україні становить – </w:t>
      </w:r>
      <w:r>
        <w:rPr>
          <w:rFonts w:hint="default"/>
          <w:b/>
          <w:bCs/>
          <w:szCs w:val="28"/>
          <w:lang w:val="uk-UA"/>
        </w:rPr>
        <w:t>71,73</w:t>
      </w:r>
      <w:r>
        <w:rPr>
          <w:b/>
          <w:bCs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грн./літр. Т</w:t>
      </w:r>
      <w:r>
        <w:rPr>
          <w:b/>
          <w:bCs/>
          <w:szCs w:val="28"/>
          <w:lang w:val="uk-UA"/>
        </w:rPr>
        <w:t>аким чином вартість закупівлі з урахуванням запланованих коштів</w:t>
      </w:r>
      <w:r>
        <w:rPr>
          <w:rFonts w:hint="default"/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 xml:space="preserve">становить: </w:t>
      </w:r>
      <w:r>
        <w:rPr>
          <w:rFonts w:hint="default"/>
          <w:b/>
          <w:bCs/>
          <w:szCs w:val="28"/>
          <w:lang w:val="uk-UA"/>
        </w:rPr>
        <w:t xml:space="preserve">378000,00 грн. /71,73 </w:t>
      </w:r>
      <w:r>
        <w:rPr>
          <w:b/>
          <w:bCs/>
          <w:szCs w:val="28"/>
          <w:lang w:val="uk-UA"/>
        </w:rPr>
        <w:t xml:space="preserve">грн. = </w:t>
      </w:r>
      <w:r>
        <w:rPr>
          <w:rFonts w:hint="default"/>
          <w:b/>
          <w:bCs/>
          <w:szCs w:val="28"/>
          <w:lang w:val="uk-UA"/>
        </w:rPr>
        <w:t xml:space="preserve">5269,7 літри. Врахоуючи номінальність танолонів є можливість придбати 5260 літрів. </w:t>
      </w:r>
      <w:r>
        <w:rPr>
          <w:b/>
          <w:bCs/>
          <w:szCs w:val="28"/>
          <w:lang w:val="uk-UA"/>
        </w:rPr>
        <w:t>Закупівля здійснюється з</w:t>
      </w:r>
      <w:r>
        <w:rPr>
          <w:rFonts w:cs="Times New Roman"/>
          <w:b/>
          <w:bCs/>
          <w:szCs w:val="28"/>
          <w:lang w:val="uk-UA"/>
        </w:rPr>
        <w:t>а рахунок місцевого бюджету.</w:t>
      </w:r>
    </w:p>
    <w:p w14:paraId="7712FABF">
      <w:pPr>
        <w:ind w:firstLine="708"/>
        <w:jc w:val="both"/>
        <w:rPr>
          <w:b w:val="0"/>
          <w:bCs/>
          <w:sz w:val="23"/>
          <w:szCs w:val="23"/>
          <w:lang w:val="uk-UA"/>
        </w:rPr>
      </w:pPr>
      <w:r>
        <w:rPr>
          <w:b w:val="0"/>
          <w:bCs/>
          <w:sz w:val="23"/>
          <w:szCs w:val="23"/>
          <w:lang w:val="uk-UA"/>
        </w:rPr>
        <w:t xml:space="preserve">14. Обґрунтування розміру бюджетного призначення: </w:t>
      </w:r>
    </w:p>
    <w:p w14:paraId="4522BEA2">
      <w:pPr>
        <w:jc w:val="both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Розмір бюджетного призначення визначений з урахуванням вимог наказу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закупівлі", за рахунок коштів місцевого бюджету, та згідно прогнозних розрахунків на 202</w:t>
      </w:r>
      <w:r>
        <w:rPr>
          <w:rFonts w:hint="default"/>
          <w:b/>
          <w:bCs/>
          <w:sz w:val="23"/>
          <w:szCs w:val="23"/>
          <w:lang w:val="uk-UA"/>
        </w:rPr>
        <w:t>6</w:t>
      </w:r>
      <w:r>
        <w:rPr>
          <w:b/>
          <w:bCs/>
          <w:sz w:val="23"/>
          <w:szCs w:val="23"/>
          <w:lang w:val="uk-UA"/>
        </w:rPr>
        <w:t xml:space="preserve"> рік до Бюджетного запиту виконавчого комітету Саксаганської сільської ради на 202</w:t>
      </w:r>
      <w:r>
        <w:rPr>
          <w:rFonts w:hint="default"/>
          <w:b/>
          <w:bCs/>
          <w:sz w:val="23"/>
          <w:szCs w:val="23"/>
          <w:lang w:val="en-US"/>
        </w:rPr>
        <w:t>6</w:t>
      </w:r>
      <w:r>
        <w:rPr>
          <w:b/>
          <w:bCs/>
          <w:sz w:val="23"/>
          <w:szCs w:val="23"/>
          <w:lang w:val="uk-UA"/>
        </w:rPr>
        <w:t>-202</w:t>
      </w:r>
      <w:r>
        <w:rPr>
          <w:rFonts w:hint="default"/>
          <w:b/>
          <w:bCs/>
          <w:sz w:val="23"/>
          <w:szCs w:val="23"/>
          <w:lang w:val="en-US"/>
        </w:rPr>
        <w:t>8</w:t>
      </w:r>
      <w:r>
        <w:rPr>
          <w:b/>
          <w:bCs/>
          <w:sz w:val="23"/>
          <w:szCs w:val="23"/>
          <w:lang w:val="uk-UA"/>
        </w:rPr>
        <w:t xml:space="preserve"> роки.</w:t>
      </w:r>
    </w:p>
    <w:p w14:paraId="5DFF27D8">
      <w:pPr>
        <w:jc w:val="both"/>
        <w:rPr>
          <w:b/>
          <w:bCs/>
          <w:lang w:val="uk-UA"/>
        </w:rPr>
      </w:pPr>
    </w:p>
    <w:p w14:paraId="6F41562D">
      <w:pPr>
        <w:jc w:val="both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</w:p>
    <w:sectPr>
      <w:footerReference r:id="rId3" w:type="default"/>
      <w:footnotePr>
        <w:pos w:val="beneathText"/>
      </w:footnotePr>
      <w:pgSz w:w="11905" w:h="16837"/>
      <w:pgMar w:top="567" w:right="357" w:bottom="426" w:left="873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5FD1C">
    <w:pPr>
      <w:pStyle w:val="4"/>
      <w:jc w:val="right"/>
    </w:pPr>
  </w:p>
  <w:p w14:paraId="0A7374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hyphenationZone w:val="425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pos w:val="beneathText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C"/>
    <w:rsid w:val="00035BE7"/>
    <w:rsid w:val="000417CC"/>
    <w:rsid w:val="00045A74"/>
    <w:rsid w:val="00075C5C"/>
    <w:rsid w:val="00077D97"/>
    <w:rsid w:val="00082DE7"/>
    <w:rsid w:val="00086315"/>
    <w:rsid w:val="00086AED"/>
    <w:rsid w:val="000B2926"/>
    <w:rsid w:val="000B3790"/>
    <w:rsid w:val="000B65FC"/>
    <w:rsid w:val="000C608A"/>
    <w:rsid w:val="000E3645"/>
    <w:rsid w:val="001232E1"/>
    <w:rsid w:val="0014133D"/>
    <w:rsid w:val="00157E99"/>
    <w:rsid w:val="00162D7F"/>
    <w:rsid w:val="00182540"/>
    <w:rsid w:val="00192DFC"/>
    <w:rsid w:val="001F2BB1"/>
    <w:rsid w:val="00217112"/>
    <w:rsid w:val="00232C6A"/>
    <w:rsid w:val="002473AC"/>
    <w:rsid w:val="00254D04"/>
    <w:rsid w:val="002647AC"/>
    <w:rsid w:val="002654C5"/>
    <w:rsid w:val="00290E00"/>
    <w:rsid w:val="00294F47"/>
    <w:rsid w:val="002B5ED4"/>
    <w:rsid w:val="002F2E36"/>
    <w:rsid w:val="00314087"/>
    <w:rsid w:val="003245F7"/>
    <w:rsid w:val="00334247"/>
    <w:rsid w:val="00334BFE"/>
    <w:rsid w:val="00335247"/>
    <w:rsid w:val="00340E2D"/>
    <w:rsid w:val="003507CD"/>
    <w:rsid w:val="00360CED"/>
    <w:rsid w:val="00371173"/>
    <w:rsid w:val="003A09DB"/>
    <w:rsid w:val="003A0B00"/>
    <w:rsid w:val="003A63BC"/>
    <w:rsid w:val="003B20A4"/>
    <w:rsid w:val="003B3B8D"/>
    <w:rsid w:val="003B43A4"/>
    <w:rsid w:val="003E596C"/>
    <w:rsid w:val="003F1588"/>
    <w:rsid w:val="003F3211"/>
    <w:rsid w:val="003F6914"/>
    <w:rsid w:val="00400B3B"/>
    <w:rsid w:val="00401AE2"/>
    <w:rsid w:val="004077C6"/>
    <w:rsid w:val="004257B5"/>
    <w:rsid w:val="004321E7"/>
    <w:rsid w:val="004325BA"/>
    <w:rsid w:val="004A35DB"/>
    <w:rsid w:val="004C640C"/>
    <w:rsid w:val="004C7EBE"/>
    <w:rsid w:val="004F532A"/>
    <w:rsid w:val="004F6892"/>
    <w:rsid w:val="0053253A"/>
    <w:rsid w:val="0054114F"/>
    <w:rsid w:val="00583612"/>
    <w:rsid w:val="005953FA"/>
    <w:rsid w:val="005A7B54"/>
    <w:rsid w:val="005B55FE"/>
    <w:rsid w:val="005C5AAA"/>
    <w:rsid w:val="005D15B0"/>
    <w:rsid w:val="005D3473"/>
    <w:rsid w:val="005D6613"/>
    <w:rsid w:val="005E6515"/>
    <w:rsid w:val="005E6904"/>
    <w:rsid w:val="005F731E"/>
    <w:rsid w:val="00601A97"/>
    <w:rsid w:val="0061581F"/>
    <w:rsid w:val="00623075"/>
    <w:rsid w:val="006241DD"/>
    <w:rsid w:val="006258A3"/>
    <w:rsid w:val="00630D99"/>
    <w:rsid w:val="0063688C"/>
    <w:rsid w:val="00652C59"/>
    <w:rsid w:val="00662B8C"/>
    <w:rsid w:val="006833EE"/>
    <w:rsid w:val="0068474F"/>
    <w:rsid w:val="00687CFC"/>
    <w:rsid w:val="00694417"/>
    <w:rsid w:val="006B7274"/>
    <w:rsid w:val="006B7865"/>
    <w:rsid w:val="006C7EA2"/>
    <w:rsid w:val="006D02DE"/>
    <w:rsid w:val="006D0F86"/>
    <w:rsid w:val="006E2570"/>
    <w:rsid w:val="006F1373"/>
    <w:rsid w:val="006F152C"/>
    <w:rsid w:val="00741CA3"/>
    <w:rsid w:val="00752700"/>
    <w:rsid w:val="00756E33"/>
    <w:rsid w:val="00777647"/>
    <w:rsid w:val="00786067"/>
    <w:rsid w:val="007A656E"/>
    <w:rsid w:val="007C6488"/>
    <w:rsid w:val="007C76AA"/>
    <w:rsid w:val="007E2639"/>
    <w:rsid w:val="007E44BC"/>
    <w:rsid w:val="007F155F"/>
    <w:rsid w:val="007F2BAE"/>
    <w:rsid w:val="00812CD7"/>
    <w:rsid w:val="00825978"/>
    <w:rsid w:val="0087633F"/>
    <w:rsid w:val="00883594"/>
    <w:rsid w:val="008B3063"/>
    <w:rsid w:val="008B66C1"/>
    <w:rsid w:val="008C032E"/>
    <w:rsid w:val="008C47BB"/>
    <w:rsid w:val="00900E6D"/>
    <w:rsid w:val="00901045"/>
    <w:rsid w:val="0090203C"/>
    <w:rsid w:val="00903B4C"/>
    <w:rsid w:val="00910A19"/>
    <w:rsid w:val="00936AEA"/>
    <w:rsid w:val="009661F9"/>
    <w:rsid w:val="00986410"/>
    <w:rsid w:val="00990116"/>
    <w:rsid w:val="00994566"/>
    <w:rsid w:val="009A62AC"/>
    <w:rsid w:val="009C01EE"/>
    <w:rsid w:val="009C28D0"/>
    <w:rsid w:val="009D361E"/>
    <w:rsid w:val="00A03F10"/>
    <w:rsid w:val="00A17AF4"/>
    <w:rsid w:val="00A34596"/>
    <w:rsid w:val="00A4168D"/>
    <w:rsid w:val="00A43ABD"/>
    <w:rsid w:val="00A44253"/>
    <w:rsid w:val="00A44E40"/>
    <w:rsid w:val="00A53B66"/>
    <w:rsid w:val="00A86B71"/>
    <w:rsid w:val="00A932A9"/>
    <w:rsid w:val="00AA4E36"/>
    <w:rsid w:val="00AB4299"/>
    <w:rsid w:val="00B173A4"/>
    <w:rsid w:val="00B24DA5"/>
    <w:rsid w:val="00B437B8"/>
    <w:rsid w:val="00B518AC"/>
    <w:rsid w:val="00B628CD"/>
    <w:rsid w:val="00B668CB"/>
    <w:rsid w:val="00BB3359"/>
    <w:rsid w:val="00BB3B78"/>
    <w:rsid w:val="00BB7463"/>
    <w:rsid w:val="00BF4E58"/>
    <w:rsid w:val="00C00716"/>
    <w:rsid w:val="00C00EE5"/>
    <w:rsid w:val="00C03598"/>
    <w:rsid w:val="00C05DFD"/>
    <w:rsid w:val="00C5324C"/>
    <w:rsid w:val="00C61BE0"/>
    <w:rsid w:val="00C76926"/>
    <w:rsid w:val="00CA1F80"/>
    <w:rsid w:val="00CA5D70"/>
    <w:rsid w:val="00CB7EFB"/>
    <w:rsid w:val="00CE435D"/>
    <w:rsid w:val="00CF0B21"/>
    <w:rsid w:val="00CF5486"/>
    <w:rsid w:val="00D00CD9"/>
    <w:rsid w:val="00D14805"/>
    <w:rsid w:val="00D2581E"/>
    <w:rsid w:val="00D33995"/>
    <w:rsid w:val="00D37B7A"/>
    <w:rsid w:val="00D414D7"/>
    <w:rsid w:val="00D64EB2"/>
    <w:rsid w:val="00D85FD2"/>
    <w:rsid w:val="00DC2E41"/>
    <w:rsid w:val="00E021DF"/>
    <w:rsid w:val="00E17930"/>
    <w:rsid w:val="00E33A4D"/>
    <w:rsid w:val="00E423FF"/>
    <w:rsid w:val="00E53FDC"/>
    <w:rsid w:val="00E6571A"/>
    <w:rsid w:val="00E73E29"/>
    <w:rsid w:val="00E760CC"/>
    <w:rsid w:val="00E81D3A"/>
    <w:rsid w:val="00E83CE2"/>
    <w:rsid w:val="00EA341B"/>
    <w:rsid w:val="00EE42EF"/>
    <w:rsid w:val="00EE560E"/>
    <w:rsid w:val="00F17B43"/>
    <w:rsid w:val="00F301FC"/>
    <w:rsid w:val="00F363CD"/>
    <w:rsid w:val="00F47684"/>
    <w:rsid w:val="00F54104"/>
    <w:rsid w:val="00F67B63"/>
    <w:rsid w:val="00F94B28"/>
    <w:rsid w:val="00F95F44"/>
    <w:rsid w:val="00FA149B"/>
    <w:rsid w:val="00FA3C65"/>
    <w:rsid w:val="00FB0D47"/>
    <w:rsid w:val="00FB34A2"/>
    <w:rsid w:val="00FB7DC5"/>
    <w:rsid w:val="00FD1353"/>
    <w:rsid w:val="2703706E"/>
    <w:rsid w:val="581C2FC9"/>
    <w:rsid w:val="640C0762"/>
    <w:rsid w:val="65942C36"/>
    <w:rsid w:val="741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szCs w:val="24"/>
      <w:lang w:val="ru-RU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677"/>
        <w:tab w:val="right" w:pos="9355"/>
      </w:tabs>
    </w:p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0"/>
    <w:rPr>
      <w:b/>
      <w:bCs/>
    </w:rPr>
  </w:style>
  <w:style w:type="paragraph" w:styleId="7">
    <w:name w:val="Subtitle"/>
    <w:basedOn w:val="1"/>
    <w:next w:val="1"/>
    <w:link w:val="14"/>
    <w:qFormat/>
    <w:locked/>
    <w:uiPriority w:val="0"/>
    <w:pPr>
      <w:spacing w:after="60"/>
      <w:jc w:val="center"/>
      <w:outlineLvl w:val="1"/>
    </w:pPr>
    <w:rPr>
      <w:rFonts w:ascii="Cambria" w:hAnsi="Cambria"/>
    </w:rPr>
  </w:style>
  <w:style w:type="paragraph" w:styleId="8">
    <w:name w:val="Title"/>
    <w:basedOn w:val="1"/>
    <w:next w:val="1"/>
    <w:link w:val="15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9">
    <w:name w:val="rvps2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rvps14"/>
    <w:basedOn w:val="1"/>
    <w:qFormat/>
    <w:uiPriority w:val="99"/>
    <w:pPr>
      <w:widowControl/>
      <w:suppressAutoHyphens w:val="0"/>
      <w:spacing w:before="100" w:beforeAutospacing="1" w:after="100" w:afterAutospacing="1"/>
    </w:pPr>
    <w:rPr>
      <w:rFonts w:ascii="Calibri" w:hAnsi="Calibri" w:cs="Calibri"/>
      <w:lang w:val="uk-UA"/>
    </w:rPr>
  </w:style>
  <w:style w:type="character" w:customStyle="1" w:styleId="11">
    <w:name w:val="rvts37"/>
    <w:basedOn w:val="2"/>
    <w:qFormat/>
    <w:uiPriority w:val="99"/>
  </w:style>
  <w:style w:type="character" w:customStyle="1" w:styleId="12">
    <w:name w:val="Footer Char"/>
    <w:basedOn w:val="2"/>
    <w:semiHidden/>
    <w:qFormat/>
    <w:locked/>
    <w:uiPriority w:val="99"/>
    <w:rPr>
      <w:sz w:val="24"/>
      <w:szCs w:val="24"/>
      <w:lang w:val="ru-RU"/>
    </w:rPr>
  </w:style>
  <w:style w:type="character" w:customStyle="1" w:styleId="13">
    <w:name w:val="Нижний колонтитул Знак"/>
    <w:link w:val="4"/>
    <w:qFormat/>
    <w:locked/>
    <w:uiPriority w:val="99"/>
    <w:rPr>
      <w:sz w:val="24"/>
      <w:szCs w:val="24"/>
      <w:lang w:val="ru-RU" w:eastAsia="uk-UA"/>
    </w:rPr>
  </w:style>
  <w:style w:type="character" w:customStyle="1" w:styleId="14">
    <w:name w:val="Подзаголовок Знак"/>
    <w:basedOn w:val="2"/>
    <w:link w:val="7"/>
    <w:qFormat/>
    <w:uiPriority w:val="0"/>
    <w:rPr>
      <w:rFonts w:ascii="Cambria" w:hAnsi="Cambria" w:eastAsia="Times New Roman" w:cs="Times New Roman"/>
      <w:sz w:val="24"/>
      <w:szCs w:val="24"/>
      <w:lang w:val="ru-RU"/>
    </w:rPr>
  </w:style>
  <w:style w:type="character" w:customStyle="1" w:styleId="15">
    <w:name w:val="Название Знак"/>
    <w:basedOn w:val="2"/>
    <w:link w:val="8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uk-UA" w:eastAsia="uk-UA" w:bidi="ar-SA"/>
    </w:rPr>
  </w:style>
  <w:style w:type="paragraph" w:customStyle="1" w:styleId="17">
    <w:name w:val="Table Paragraph"/>
    <w:basedOn w:val="1"/>
    <w:qFormat/>
    <w:uiPriority w:val="1"/>
    <w:pPr>
      <w:suppressAutoHyphens w:val="0"/>
      <w:autoSpaceDE w:val="0"/>
      <w:autoSpaceDN w:val="0"/>
      <w:ind w:left="200"/>
    </w:pPr>
    <w:rPr>
      <w:sz w:val="22"/>
      <w:szCs w:val="22"/>
      <w:lang w:val="uk-UA" w:eastAsia="en-U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Чарторижський ЯМ</Manager>
  <Company>Baukron</Company>
  <Pages>1</Pages>
  <Words>1002</Words>
  <Characters>6868</Characters>
  <Lines>57</Lines>
  <Paragraphs>15</Paragraphs>
  <TotalTime>2</TotalTime>
  <ScaleCrop>false</ScaleCrop>
  <LinksUpToDate>false</LinksUpToDate>
  <CharactersWithSpaces>7855</CharactersWithSpaces>
  <HyperlinkBase>www.dac.baukron.com</HyperlinkBas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2024-11-25T06:57:00Z</dcterms:created>
  <dc:creator>АСІГД DAC</dc:creator>
  <cp:lastModifiedBy>Комп 30</cp:lastModifiedBy>
  <cp:lastPrinted>2022-10-27T06:18:00Z</cp:lastPrinted>
  <dcterms:modified xsi:type="dcterms:W3CDTF">2026-04-06T10:08:22Z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0F4DBA4FF45241EFB449BF8BF599CB94_12</vt:lpwstr>
  </property>
</Properties>
</file>