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5FDF6">
      <w:pPr>
        <w:jc w:val="right"/>
        <w:rPr>
          <w:b/>
          <w:bCs/>
          <w:sz w:val="23"/>
          <w:szCs w:val="23"/>
          <w:lang w:val="uk-UA"/>
        </w:rPr>
      </w:pPr>
      <w:r>
        <w:rPr>
          <w:b/>
          <w:bCs/>
          <w:sz w:val="23"/>
          <w:szCs w:val="23"/>
          <w:lang w:val="uk-UA"/>
        </w:rPr>
        <w:t>«ЗАТВЕРДЖУЮ»</w:t>
      </w:r>
    </w:p>
    <w:p w14:paraId="227443C1">
      <w:pPr>
        <w:jc w:val="right"/>
        <w:rPr>
          <w:b/>
          <w:bCs/>
          <w:sz w:val="23"/>
          <w:szCs w:val="23"/>
          <w:lang w:val="uk-UA"/>
        </w:rPr>
      </w:pPr>
      <w:r>
        <w:rPr>
          <w:b/>
          <w:bCs/>
          <w:sz w:val="23"/>
          <w:szCs w:val="23"/>
          <w:lang w:val="uk-UA"/>
        </w:rPr>
        <w:t xml:space="preserve">Сільський голова </w:t>
      </w:r>
    </w:p>
    <w:p w14:paraId="4258082B">
      <w:pPr>
        <w:jc w:val="right"/>
        <w:rPr>
          <w:b/>
          <w:bCs/>
          <w:sz w:val="23"/>
          <w:szCs w:val="23"/>
          <w:lang w:val="uk-UA"/>
        </w:rPr>
      </w:pPr>
      <w:r>
        <w:rPr>
          <w:b/>
          <w:bCs/>
          <w:sz w:val="23"/>
          <w:szCs w:val="23"/>
          <w:lang w:val="uk-UA"/>
        </w:rPr>
        <w:t xml:space="preserve">Саксаганської сільської ради </w:t>
      </w:r>
    </w:p>
    <w:p w14:paraId="53D9926C">
      <w:pPr>
        <w:jc w:val="right"/>
        <w:rPr>
          <w:b/>
          <w:bCs/>
          <w:sz w:val="23"/>
          <w:szCs w:val="23"/>
          <w:lang w:val="uk-UA"/>
        </w:rPr>
      </w:pPr>
    </w:p>
    <w:p w14:paraId="4D057984">
      <w:pPr>
        <w:jc w:val="right"/>
        <w:rPr>
          <w:b/>
          <w:bCs/>
          <w:sz w:val="23"/>
          <w:szCs w:val="23"/>
          <w:lang w:val="uk-UA"/>
        </w:rPr>
      </w:pPr>
      <w:r>
        <w:rPr>
          <w:b/>
          <w:bCs/>
          <w:sz w:val="23"/>
          <w:szCs w:val="23"/>
          <w:lang w:val="uk-UA"/>
        </w:rPr>
        <w:t>_______________  Оле БАБЕЬ</w:t>
      </w:r>
    </w:p>
    <w:p w14:paraId="2853CEC4">
      <w:pPr>
        <w:jc w:val="right"/>
        <w:rPr>
          <w:b/>
          <w:bCs/>
          <w:sz w:val="23"/>
          <w:szCs w:val="23"/>
          <w:lang w:val="uk-UA"/>
        </w:rPr>
      </w:pPr>
      <w:r>
        <w:rPr>
          <w:rFonts w:hint="default"/>
          <w:b/>
          <w:bCs/>
          <w:sz w:val="23"/>
          <w:szCs w:val="23"/>
          <w:lang w:val="uk-UA"/>
        </w:rPr>
        <w:t>17.06.</w:t>
      </w:r>
      <w:r>
        <w:rPr>
          <w:b/>
          <w:bCs/>
          <w:sz w:val="23"/>
          <w:szCs w:val="23"/>
          <w:lang w:val="uk-UA"/>
        </w:rPr>
        <w:t>2025</w:t>
      </w:r>
    </w:p>
    <w:p w14:paraId="29BDF646">
      <w:pPr>
        <w:jc w:val="center"/>
        <w:rPr>
          <w:b/>
          <w:bCs/>
          <w:sz w:val="23"/>
          <w:szCs w:val="23"/>
          <w:lang w:val="uk-UA"/>
        </w:rPr>
      </w:pPr>
    </w:p>
    <w:p w14:paraId="16A51F95">
      <w:pPr>
        <w:jc w:val="center"/>
        <w:rPr>
          <w:b/>
          <w:bCs/>
          <w:sz w:val="23"/>
          <w:szCs w:val="23"/>
          <w:lang w:val="uk-UA"/>
        </w:rPr>
      </w:pPr>
    </w:p>
    <w:p w14:paraId="6C961805">
      <w:pPr>
        <w:jc w:val="center"/>
        <w:rPr>
          <w:b/>
          <w:bCs/>
          <w:sz w:val="23"/>
          <w:szCs w:val="23"/>
          <w:lang w:val="uk-UA"/>
        </w:rPr>
      </w:pPr>
      <w:r>
        <w:rPr>
          <w:b/>
          <w:bCs/>
          <w:sz w:val="23"/>
          <w:szCs w:val="23"/>
          <w:lang w:val="uk-UA"/>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 </w:t>
      </w:r>
    </w:p>
    <w:p w14:paraId="7323ED40">
      <w:pPr>
        <w:jc w:val="center"/>
        <w:rPr>
          <w:b/>
          <w:bCs/>
          <w:sz w:val="23"/>
          <w:szCs w:val="23"/>
          <w:lang w:val="uk-UA"/>
        </w:rPr>
      </w:pPr>
    </w:p>
    <w:p w14:paraId="6851AA82">
      <w:pPr>
        <w:ind w:firstLine="708"/>
        <w:jc w:val="both"/>
        <w:rPr>
          <w:b/>
          <w:sz w:val="23"/>
          <w:szCs w:val="23"/>
          <w:lang w:val="uk-UA"/>
        </w:rPr>
      </w:pPr>
      <w:r>
        <w:rPr>
          <w:sz w:val="23"/>
          <w:szCs w:val="23"/>
          <w:lang w:val="uk-UA"/>
        </w:rPr>
        <w:t xml:space="preserve">На виконання п.4-1 постанови Кабінету Міністрів України від 11.10.2016 року №710, із змінами та доповненнями, щодо </w:t>
      </w:r>
      <w:r>
        <w:rPr>
          <w:rFonts w:eastAsia="Calibri"/>
          <w:sz w:val="23"/>
          <w:szCs w:val="23"/>
          <w:lang w:val="uk-UA"/>
        </w:rPr>
        <w:t>забезпеч</w:t>
      </w:r>
      <w:r>
        <w:rPr>
          <w:sz w:val="23"/>
          <w:szCs w:val="23"/>
          <w:lang w:val="uk-UA"/>
        </w:rPr>
        <w:t>ення</w:t>
      </w:r>
      <w:r>
        <w:rPr>
          <w:rFonts w:eastAsia="Calibri"/>
          <w:sz w:val="23"/>
          <w:szCs w:val="23"/>
          <w:lang w:val="uk-UA"/>
        </w:rPr>
        <w:t xml:space="preserve"> </w:t>
      </w:r>
      <w:r>
        <w:rPr>
          <w:color w:val="333333"/>
          <w:sz w:val="23"/>
          <w:szCs w:val="23"/>
          <w:lang w:val="uk-UA"/>
        </w:rPr>
        <w:t>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w:t>
      </w:r>
      <w:r>
        <w:rPr>
          <w:b/>
          <w:sz w:val="23"/>
          <w:szCs w:val="23"/>
          <w:lang w:val="uk-UA"/>
        </w:rPr>
        <w:t>:</w:t>
      </w:r>
    </w:p>
    <w:p w14:paraId="1797714E">
      <w:pPr>
        <w:rPr>
          <w:b/>
          <w:bCs/>
          <w:sz w:val="23"/>
          <w:szCs w:val="23"/>
          <w:lang w:val="uk-UA"/>
        </w:rPr>
      </w:pPr>
    </w:p>
    <w:p w14:paraId="55847DCB">
      <w:pPr>
        <w:rPr>
          <w:sz w:val="23"/>
          <w:szCs w:val="23"/>
          <w:lang w:val="uk-UA"/>
        </w:rPr>
      </w:pPr>
      <w:r>
        <w:rPr>
          <w:sz w:val="23"/>
          <w:szCs w:val="23"/>
          <w:lang w:val="uk-UA"/>
        </w:rPr>
        <w:t>1.    Найменування:</w:t>
      </w:r>
      <w:r>
        <w:rPr>
          <w:b/>
          <w:bCs/>
          <w:color w:val="000000"/>
          <w:sz w:val="23"/>
          <w:szCs w:val="23"/>
          <w:lang w:val="uk-UA"/>
        </w:rPr>
        <w:t>Виконком Саксаганської сільської ради Кам`янського р-ну Дніпропетровської області</w:t>
      </w:r>
    </w:p>
    <w:p w14:paraId="6425CB0B">
      <w:pPr>
        <w:widowControl w:val="0"/>
        <w:autoSpaceDE w:val="0"/>
        <w:ind w:right="34"/>
        <w:jc w:val="both"/>
        <w:rPr>
          <w:b w:val="0"/>
          <w:bCs w:val="0"/>
        </w:rPr>
      </w:pPr>
      <w:r>
        <w:rPr>
          <w:sz w:val="23"/>
          <w:szCs w:val="23"/>
          <w:lang w:val="uk-UA"/>
        </w:rPr>
        <w:t xml:space="preserve">2.    Місце знаходження: </w:t>
      </w:r>
      <w:r>
        <w:rPr>
          <w:b/>
          <w:bCs/>
        </w:rPr>
        <w:t>52173</w:t>
      </w:r>
      <w:r>
        <w:rPr>
          <w:rFonts w:hint="default"/>
          <w:b/>
          <w:bCs/>
          <w:lang w:val="uk-UA"/>
        </w:rPr>
        <w:t xml:space="preserve">, </w:t>
      </w:r>
      <w:r>
        <w:rPr>
          <w:b/>
          <w:bCs/>
        </w:rPr>
        <w:t xml:space="preserve">Дніпропетровська область, </w:t>
      </w:r>
      <w:r>
        <w:rPr>
          <w:b/>
          <w:bCs/>
          <w:lang w:val="uk-UA"/>
        </w:rPr>
        <w:t>Кам</w:t>
      </w:r>
      <w:r>
        <w:rPr>
          <w:rFonts w:hint="default"/>
          <w:b/>
          <w:bCs/>
          <w:lang w:val="uk-UA"/>
        </w:rPr>
        <w:t>’янський район,</w:t>
      </w:r>
      <w:r>
        <w:rPr>
          <w:b/>
          <w:bCs/>
        </w:rPr>
        <w:t xml:space="preserve"> с. Саксагань, вул. Центральна, 14</w:t>
      </w:r>
    </w:p>
    <w:p w14:paraId="712EBBA8">
      <w:pPr>
        <w:rPr>
          <w:sz w:val="23"/>
          <w:szCs w:val="23"/>
          <w:lang w:val="uk-UA"/>
        </w:rPr>
      </w:pPr>
      <w:r>
        <w:rPr>
          <w:sz w:val="23"/>
          <w:szCs w:val="23"/>
          <w:lang w:val="uk-UA"/>
        </w:rPr>
        <w:t xml:space="preserve">3.    Код ЄДРПОУ: </w:t>
      </w:r>
      <w:r>
        <w:rPr>
          <w:b/>
          <w:bCs/>
          <w:color w:val="000000"/>
          <w:sz w:val="23"/>
          <w:szCs w:val="23"/>
          <w:lang w:val="uk-UA"/>
        </w:rPr>
        <w:t>41845765</w:t>
      </w:r>
    </w:p>
    <w:p w14:paraId="52E076A2">
      <w:pPr>
        <w:rPr>
          <w:b/>
          <w:bCs/>
          <w:color w:val="000000"/>
          <w:sz w:val="23"/>
          <w:szCs w:val="23"/>
          <w:lang w:val="uk-UA"/>
        </w:rPr>
      </w:pPr>
      <w:r>
        <w:rPr>
          <w:sz w:val="23"/>
          <w:szCs w:val="23"/>
          <w:lang w:val="uk-UA"/>
        </w:rPr>
        <w:t xml:space="preserve">4.    Категорія предмета закупівлі: </w:t>
      </w:r>
      <w:r>
        <w:rPr>
          <w:b/>
          <w:bCs/>
          <w:color w:val="000000"/>
          <w:sz w:val="23"/>
          <w:szCs w:val="23"/>
          <w:lang w:val="uk-UA"/>
        </w:rPr>
        <w:t>Послуга.</w:t>
      </w:r>
    </w:p>
    <w:p w14:paraId="4D1705B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sz w:val="24"/>
          <w:lang w:val="uk-UA"/>
        </w:rPr>
      </w:pPr>
      <w:r>
        <w:rPr>
          <w:sz w:val="23"/>
          <w:szCs w:val="23"/>
          <w:lang w:val="uk-UA"/>
        </w:rPr>
        <w:t xml:space="preserve">5.    Назва предмету закупівлі із зазначенням коду за Єдиним закупівельним словником: </w:t>
      </w:r>
      <w:r>
        <w:rPr>
          <w:rFonts w:ascii="Times New Roman" w:hAnsi="Times New Roman" w:eastAsia="Times New Roman" w:cs="Times New Roman"/>
          <w:b/>
          <w:sz w:val="24"/>
        </w:rPr>
        <w:t xml:space="preserve">Розроблення місцевого плану управління відходами </w:t>
      </w:r>
      <w:r>
        <w:rPr>
          <w:rFonts w:hint="default" w:ascii="Times New Roman" w:hAnsi="Times New Roman" w:cs="Times New Roman"/>
          <w:b/>
          <w:bCs/>
          <w:color w:val="000000"/>
          <w:sz w:val="24"/>
          <w:szCs w:val="24"/>
          <w:lang w:val="uk-UA"/>
        </w:rPr>
        <w:t xml:space="preserve">Саксаганської тереторіалної громади Кам’янського району Дніпропетровської області  </w:t>
      </w:r>
      <w:r>
        <w:rPr>
          <w:rFonts w:ascii="Times New Roman" w:hAnsi="Times New Roman" w:eastAsia="Times New Roman" w:cs="Times New Roman"/>
          <w:b/>
          <w:sz w:val="24"/>
        </w:rPr>
        <w:t>(ДК 021:2015: 90710000-7 Екологічний менеджмент)</w:t>
      </w:r>
      <w:r>
        <w:rPr>
          <w:rFonts w:hint="default" w:ascii="Times New Roman" w:hAnsi="Times New Roman" w:eastAsia="Times New Roman" w:cs="Times New Roman"/>
          <w:b/>
          <w:sz w:val="24"/>
          <w:lang w:val="uk-UA"/>
        </w:rPr>
        <w:t>.</w:t>
      </w:r>
    </w:p>
    <w:p w14:paraId="55C716E7">
      <w:pPr>
        <w:jc w:val="both"/>
        <w:rPr>
          <w:sz w:val="23"/>
          <w:szCs w:val="23"/>
          <w:lang w:val="uk-UA"/>
        </w:rPr>
      </w:pPr>
      <w:r>
        <w:rPr>
          <w:sz w:val="23"/>
          <w:szCs w:val="23"/>
          <w:lang w:val="uk-UA"/>
        </w:rPr>
        <w:t>6.    Дата оголошення:</w:t>
      </w:r>
      <w:r>
        <w:rPr>
          <w:rFonts w:hint="default"/>
          <w:b/>
          <w:bCs/>
          <w:sz w:val="23"/>
          <w:szCs w:val="23"/>
          <w:lang w:val="uk-UA"/>
        </w:rPr>
        <w:t xml:space="preserve"> травень 2026 </w:t>
      </w:r>
      <w:r>
        <w:rPr>
          <w:b/>
          <w:bCs/>
          <w:color w:val="000000"/>
          <w:sz w:val="23"/>
          <w:szCs w:val="23"/>
          <w:lang w:val="uk-UA"/>
        </w:rPr>
        <w:t>року</w:t>
      </w:r>
    </w:p>
    <w:p w14:paraId="29EB83A8">
      <w:pPr>
        <w:rPr>
          <w:sz w:val="23"/>
          <w:szCs w:val="23"/>
          <w:lang w:val="uk-UA"/>
        </w:rPr>
      </w:pPr>
      <w:r>
        <w:rPr>
          <w:sz w:val="23"/>
          <w:szCs w:val="23"/>
          <w:lang w:val="uk-UA"/>
        </w:rPr>
        <w:t xml:space="preserve">7.    Процедура закупівлі: </w:t>
      </w:r>
      <w:r>
        <w:rPr>
          <w:b/>
          <w:bCs/>
          <w:sz w:val="23"/>
          <w:szCs w:val="23"/>
          <w:lang w:val="uk-UA"/>
        </w:rPr>
        <w:t xml:space="preserve">відкриті торги з особливостями </w:t>
      </w:r>
    </w:p>
    <w:p w14:paraId="59D521D0">
      <w:pPr>
        <w:rPr>
          <w:sz w:val="23"/>
          <w:szCs w:val="23"/>
          <w:lang w:val="uk-UA"/>
        </w:rPr>
      </w:pPr>
      <w:r>
        <w:rPr>
          <w:sz w:val="23"/>
          <w:szCs w:val="23"/>
          <w:lang w:val="uk-UA"/>
        </w:rPr>
        <w:t>8.    Ідентифікатори в електронній системі публічних закупівель:</w:t>
      </w:r>
    </w:p>
    <w:p w14:paraId="5C37E0FA">
      <w:pPr>
        <w:pStyle w:val="7"/>
        <w:jc w:val="left"/>
        <w:rPr>
          <w:rFonts w:hint="default" w:ascii="Times New Roman" w:hAnsi="Times New Roman" w:cs="Times New Roman"/>
          <w:b/>
          <w:bCs/>
          <w:color w:val="auto"/>
          <w:sz w:val="24"/>
          <w:szCs w:val="24"/>
          <w:u w:val="none"/>
          <w:lang w:val="uk-UA"/>
        </w:rPr>
      </w:pPr>
      <w:r>
        <w:rPr>
          <w:rFonts w:ascii="Times New Roman" w:hAnsi="Times New Roman"/>
          <w:sz w:val="23"/>
          <w:szCs w:val="23"/>
          <w:lang w:val="uk-UA"/>
        </w:rPr>
        <w:t>8.1. Ідентифікато</w:t>
      </w:r>
      <w:r>
        <w:rPr>
          <w:rFonts w:hint="default" w:ascii="Times New Roman" w:hAnsi="Times New Roman" w:cs="Times New Roman"/>
          <w:sz w:val="24"/>
          <w:szCs w:val="24"/>
          <w:lang w:val="uk-UA"/>
        </w:rPr>
        <w:t xml:space="preserve">р плану: </w:t>
      </w:r>
      <w:r>
        <w:rPr>
          <w:rFonts w:hint="default" w:ascii="Times New Roman" w:hAnsi="Times New Roman" w:cs="Times New Roman"/>
          <w:color w:val="000000"/>
          <w:sz w:val="24"/>
          <w:szCs w:val="24"/>
          <w:lang w:val="uk-UA"/>
        </w:rPr>
        <w:t xml:space="preserve"> </w:t>
      </w:r>
      <w:r>
        <w:rPr>
          <w:rFonts w:hint="default" w:ascii="Times New Roman" w:hAnsi="Times New Roman" w:eastAsia="SimSun" w:cs="Times New Roman"/>
          <w:b/>
          <w:bCs/>
          <w:i w:val="0"/>
          <w:iCs w:val="0"/>
          <w:caps w:val="0"/>
          <w:color w:val="auto"/>
          <w:spacing w:val="0"/>
          <w:sz w:val="24"/>
          <w:szCs w:val="24"/>
          <w:u w:val="none"/>
          <w:vertAlign w:val="baseline"/>
        </w:rPr>
        <w:fldChar w:fldCharType="begin"/>
      </w:r>
      <w:r>
        <w:rPr>
          <w:rFonts w:hint="default" w:ascii="Times New Roman" w:hAnsi="Times New Roman" w:eastAsia="SimSun" w:cs="Times New Roman"/>
          <w:b/>
          <w:bCs/>
          <w:i w:val="0"/>
          <w:iCs w:val="0"/>
          <w:caps w:val="0"/>
          <w:color w:val="auto"/>
          <w:spacing w:val="0"/>
          <w:sz w:val="24"/>
          <w:szCs w:val="24"/>
          <w:u w:val="none"/>
          <w:vertAlign w:val="baseline"/>
        </w:rPr>
        <w:instrText xml:space="preserve"> HYPERLINK "https://my.zakupivli.pro/cabinet/purchases/state_plan/view/38816801" \t "https://my.zakupivli.pro/cabinet/purchases/state_purchase/view/_blank" </w:instrText>
      </w:r>
      <w:r>
        <w:rPr>
          <w:rFonts w:hint="default" w:ascii="Times New Roman" w:hAnsi="Times New Roman" w:eastAsia="SimSun" w:cs="Times New Roman"/>
          <w:b/>
          <w:bCs/>
          <w:i w:val="0"/>
          <w:iCs w:val="0"/>
          <w:caps w:val="0"/>
          <w:color w:val="auto"/>
          <w:spacing w:val="0"/>
          <w:sz w:val="24"/>
          <w:szCs w:val="24"/>
          <w:u w:val="none"/>
          <w:vertAlign w:val="baseline"/>
        </w:rPr>
        <w:fldChar w:fldCharType="separate"/>
      </w:r>
      <w:r>
        <w:rPr>
          <w:rStyle w:val="5"/>
          <w:rFonts w:hint="default" w:ascii="Times New Roman" w:hAnsi="Times New Roman" w:eastAsia="SimSun" w:cs="Times New Roman"/>
          <w:b/>
          <w:bCs/>
          <w:i w:val="0"/>
          <w:iCs w:val="0"/>
          <w:caps w:val="0"/>
          <w:color w:val="auto"/>
          <w:spacing w:val="0"/>
          <w:sz w:val="24"/>
          <w:szCs w:val="24"/>
          <w:u w:val="none"/>
          <w:vertAlign w:val="baseline"/>
        </w:rPr>
        <w:t>UA-P-2026-06-15-000858-a</w:t>
      </w:r>
      <w:r>
        <w:rPr>
          <w:rFonts w:hint="default" w:ascii="Times New Roman" w:hAnsi="Times New Roman" w:eastAsia="SimSun" w:cs="Times New Roman"/>
          <w:b/>
          <w:bCs/>
          <w:i w:val="0"/>
          <w:iCs w:val="0"/>
          <w:caps w:val="0"/>
          <w:color w:val="auto"/>
          <w:spacing w:val="0"/>
          <w:sz w:val="24"/>
          <w:szCs w:val="24"/>
          <w:u w:val="none"/>
          <w:vertAlign w:val="baseline"/>
        </w:rPr>
        <w:fldChar w:fldCharType="end"/>
      </w:r>
      <w:r>
        <w:rPr>
          <w:rFonts w:hint="default" w:ascii="Times New Roman" w:hAnsi="Times New Roman" w:eastAsia="SimSun" w:cs="Times New Roman"/>
          <w:b/>
          <w:bCs/>
          <w:i w:val="0"/>
          <w:iCs w:val="0"/>
          <w:caps w:val="0"/>
          <w:color w:val="auto"/>
          <w:spacing w:val="0"/>
          <w:sz w:val="24"/>
          <w:szCs w:val="24"/>
          <w:u w:val="none"/>
          <w:vertAlign w:val="baseline"/>
          <w:lang w:val="uk-UA"/>
        </w:rPr>
        <w:t>.</w:t>
      </w:r>
    </w:p>
    <w:p w14:paraId="2236FBF4">
      <w:pPr>
        <w:pStyle w:val="7"/>
        <w:jc w:val="left"/>
        <w:rPr>
          <w:rFonts w:hint="default" w:ascii="Arial" w:hAnsi="Arial" w:eastAsia="SimSun" w:cs="Arial"/>
          <w:i w:val="0"/>
          <w:iCs w:val="0"/>
          <w:caps w:val="0"/>
          <w:color w:val="333333"/>
          <w:spacing w:val="0"/>
          <w:sz w:val="15"/>
          <w:szCs w:val="15"/>
          <w:shd w:val="clear" w:fill="FFFFFF"/>
          <w:lang w:val="uk-UA"/>
        </w:rPr>
      </w:pPr>
      <w:r>
        <w:rPr>
          <w:rFonts w:hint="default" w:ascii="Times New Roman" w:hAnsi="Times New Roman" w:cs="Times New Roman"/>
          <w:b w:val="0"/>
          <w:bCs w:val="0"/>
          <w:color w:val="auto"/>
          <w:sz w:val="24"/>
          <w:szCs w:val="24"/>
          <w:u w:val="none"/>
          <w:lang w:val="uk-UA"/>
        </w:rPr>
        <w:t>8.2. Ідентифікатор закупівлі</w:t>
      </w:r>
      <w:r>
        <w:rPr>
          <w:rFonts w:hint="default" w:ascii="Times New Roman" w:hAnsi="Times New Roman" w:cs="Times New Roman"/>
          <w:b/>
          <w:bCs/>
          <w:color w:val="auto"/>
          <w:sz w:val="24"/>
          <w:szCs w:val="24"/>
          <w:u w:val="none"/>
          <w:lang w:val="uk-UA"/>
        </w:rPr>
        <w:t xml:space="preserve">: </w:t>
      </w:r>
      <w:r>
        <w:rPr>
          <w:rFonts w:hint="default" w:ascii="Times New Roman" w:hAnsi="Times New Roman" w:eastAsia="SimSun" w:cs="Times New Roman"/>
          <w:b/>
          <w:bCs/>
          <w:i w:val="0"/>
          <w:iCs w:val="0"/>
          <w:caps w:val="0"/>
          <w:color w:val="333333"/>
          <w:spacing w:val="0"/>
          <w:sz w:val="24"/>
          <w:szCs w:val="24"/>
          <w:shd w:val="clear" w:fill="FFFFFF"/>
        </w:rPr>
        <w:t> UA-2026-06-15-000825-a</w:t>
      </w:r>
      <w:r>
        <w:rPr>
          <w:rFonts w:hint="default" w:ascii="Times New Roman" w:hAnsi="Times New Roman" w:eastAsia="SimSun" w:cs="Times New Roman"/>
          <w:b/>
          <w:bCs/>
          <w:i w:val="0"/>
          <w:iCs w:val="0"/>
          <w:caps w:val="0"/>
          <w:color w:val="333333"/>
          <w:spacing w:val="0"/>
          <w:sz w:val="24"/>
          <w:szCs w:val="24"/>
          <w:shd w:val="clear" w:fill="FFFFFF"/>
          <w:lang w:val="uk-UA"/>
        </w:rPr>
        <w:t>.</w:t>
      </w:r>
    </w:p>
    <w:p w14:paraId="00656798">
      <w:pPr>
        <w:pStyle w:val="7"/>
        <w:jc w:val="left"/>
        <w:rPr>
          <w:sz w:val="23"/>
          <w:szCs w:val="23"/>
          <w:lang w:val="uk-UA"/>
        </w:rPr>
      </w:pPr>
      <w:r>
        <w:rPr>
          <w:sz w:val="23"/>
          <w:szCs w:val="23"/>
          <w:lang w:val="uk-UA"/>
        </w:rPr>
        <w:t xml:space="preserve">9.    Інформація про технічні, якісні та інші характеристики предмета закупівлі: </w:t>
      </w:r>
      <w:r>
        <w:rPr>
          <w:b/>
          <w:bCs/>
          <w:sz w:val="23"/>
          <w:szCs w:val="23"/>
          <w:lang w:val="uk-UA"/>
        </w:rPr>
        <w:t xml:space="preserve">Зазначено у додатку </w:t>
      </w:r>
      <w:r>
        <w:rPr>
          <w:rFonts w:hint="default"/>
          <w:b/>
          <w:bCs/>
          <w:sz w:val="23"/>
          <w:szCs w:val="23"/>
          <w:lang w:val="uk-UA"/>
        </w:rPr>
        <w:t xml:space="preserve">1 </w:t>
      </w:r>
      <w:r>
        <w:rPr>
          <w:b/>
          <w:bCs/>
          <w:sz w:val="23"/>
          <w:szCs w:val="23"/>
          <w:lang w:val="uk-UA"/>
        </w:rPr>
        <w:t>до тендерної документації.</w:t>
      </w:r>
    </w:p>
    <w:p w14:paraId="61533CFB">
      <w:pPr>
        <w:jc w:val="both"/>
        <w:rPr>
          <w:sz w:val="23"/>
          <w:szCs w:val="23"/>
          <w:lang w:val="uk-UA"/>
        </w:rPr>
      </w:pPr>
      <w:r>
        <w:rPr>
          <w:sz w:val="23"/>
          <w:szCs w:val="23"/>
          <w:lang w:val="uk-UA"/>
        </w:rPr>
        <w:t xml:space="preserve">10.  </w:t>
      </w:r>
      <w:r>
        <w:rPr>
          <w:b/>
          <w:sz w:val="23"/>
          <w:szCs w:val="23"/>
          <w:lang w:val="uk-UA"/>
        </w:rPr>
        <w:t>Обґрунтування технічних та якісних характеристик предмета закупівлі:</w:t>
      </w:r>
      <w:r>
        <w:rPr>
          <w:sz w:val="23"/>
          <w:szCs w:val="23"/>
          <w:lang w:val="uk-UA"/>
        </w:rPr>
        <w:t xml:space="preserve"> </w:t>
      </w:r>
    </w:p>
    <w:p w14:paraId="6725A694">
      <w:pPr>
        <w:keepNext w:val="0"/>
        <w:keepLines w:val="0"/>
        <w:pageBreakBefore w:val="0"/>
        <w:widowControl/>
        <w:suppressLineNumbers w:val="0"/>
        <w:pBdr>
          <w:bottom w:val="none" w:color="0A0A0A" w:sz="0" w:space="0"/>
        </w:pBdr>
        <w:kinsoku/>
        <w:wordWrap/>
        <w:overflowPunct/>
        <w:topLinePunct w:val="0"/>
        <w:autoSpaceDE/>
        <w:autoSpaceDN/>
        <w:bidi w:val="0"/>
        <w:adjustRightInd/>
        <w:snapToGrid/>
        <w:spacing w:before="0" w:beforeAutospacing="0" w:afterAutospacing="0"/>
        <w:ind w:left="0" w:right="0"/>
        <w:textAlignment w:val="auto"/>
        <w:rPr>
          <w:rFonts w:hint="default" w:ascii="Times New Roman" w:hAnsi="Times New Roman" w:eastAsia="Arial" w:cs="Times New Roman"/>
          <w:sz w:val="24"/>
          <w:szCs w:val="24"/>
          <w:u w:val="none"/>
        </w:rPr>
      </w:pPr>
      <w:r>
        <w:rPr>
          <w:rFonts w:hint="default" w:ascii="Times New Roman" w:hAnsi="Times New Roman" w:eastAsia="Symbol" w:cs="Times New Roman"/>
          <w:sz w:val="24"/>
          <w:szCs w:val="24"/>
        </w:rPr>
        <w:t>·</w:t>
      </w:r>
      <w:r>
        <w:rPr>
          <w:rFonts w:hint="default" w:ascii="Times New Roman" w:hAnsi="Times New Roman" w:eastAsia="SimSun" w:cs="Times New Roman"/>
          <w:sz w:val="24"/>
          <w:szCs w:val="24"/>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800"/>
        <w:gridCol w:w="8264"/>
      </w:tblGrid>
      <w:tr w14:paraId="10F7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14:paraId="12D2E7A7">
            <w:pPr>
              <w:keepLines w:val="0"/>
              <w:pageBreakBefore w:val="0"/>
              <w:kinsoku/>
              <w:wordWrap/>
              <w:topLinePunct w:val="0"/>
              <w:bidi w:val="0"/>
              <w:snapToGrid/>
              <w:spacing w:beforeAutospacing="0" w:afterAutospacing="0"/>
              <w:ind w:left="0" w:right="0"/>
              <w:jc w:val="center"/>
            </w:pPr>
            <w:r>
              <w:t>1</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1A97FC4A">
            <w:pPr>
              <w:keepLines w:val="0"/>
              <w:pageBreakBefore w:val="0"/>
              <w:widowControl w:val="0"/>
              <w:tabs>
                <w:tab w:val="left" w:pos="993"/>
              </w:tabs>
              <w:kinsoku/>
              <w:wordWrap/>
              <w:topLinePunct w:val="0"/>
              <w:bidi w:val="0"/>
              <w:snapToGrid/>
              <w:spacing w:beforeAutospacing="0" w:afterAutospacing="0"/>
              <w:ind w:left="0" w:right="0"/>
              <w:contextualSpacing/>
              <w:jc w:val="both"/>
              <w:rPr>
                <w:b/>
                <w:caps/>
                <w:color w:val="000000"/>
              </w:rPr>
            </w:pPr>
            <w:r>
              <w:rPr>
                <w:b/>
              </w:rPr>
              <w:t>Підстава для розроблення</w:t>
            </w:r>
          </w:p>
          <w:p w14:paraId="258CAFDB">
            <w:pPr>
              <w:keepLines w:val="0"/>
              <w:pageBreakBefore w:val="0"/>
              <w:kinsoku/>
              <w:wordWrap/>
              <w:topLinePunct w:val="0"/>
              <w:bidi w:val="0"/>
              <w:snapToGrid/>
              <w:spacing w:beforeAutospacing="0" w:afterAutospacing="0"/>
              <w:ind w:left="0" w:right="0"/>
            </w:pPr>
          </w:p>
        </w:tc>
        <w:tc>
          <w:tcPr>
            <w:tcW w:w="8264" w:type="dxa"/>
            <w:tcBorders>
              <w:top w:val="single" w:color="auto" w:sz="4" w:space="0"/>
              <w:left w:val="single" w:color="auto" w:sz="4" w:space="0"/>
              <w:bottom w:val="single" w:color="auto" w:sz="4" w:space="0"/>
              <w:right w:val="single" w:color="auto" w:sz="4" w:space="0"/>
            </w:tcBorders>
            <w:noWrap w:val="0"/>
            <w:vAlign w:val="top"/>
          </w:tcPr>
          <w:p w14:paraId="61F170E1">
            <w:pPr>
              <w:keepLines w:val="0"/>
              <w:pageBreakBefore w:val="0"/>
              <w:kinsoku/>
              <w:wordWrap/>
              <w:topLinePunct w:val="0"/>
              <w:bidi w:val="0"/>
              <w:snapToGrid/>
              <w:spacing w:beforeAutospacing="0" w:afterAutospacing="0"/>
              <w:ind w:left="0" w:right="0"/>
              <w:jc w:val="both"/>
              <w:rPr>
                <w:lang w:eastAsia="uk-UA"/>
              </w:rPr>
            </w:pPr>
            <w:r>
              <w:rPr>
                <w:b/>
                <w:bCs/>
                <w:lang w:eastAsia="uk-UA"/>
              </w:rPr>
              <w:t xml:space="preserve">«Місцевий план управління відходами </w:t>
            </w:r>
            <w:r>
              <w:rPr>
                <w:rFonts w:hint="default"/>
                <w:b/>
                <w:bCs/>
                <w:color w:val="000000"/>
                <w:sz w:val="24"/>
                <w:szCs w:val="24"/>
                <w:lang w:val="uk-UA"/>
              </w:rPr>
              <w:t>Саксаганської тереторіалної громади Кам’янського району Дніпропетровської області</w:t>
            </w:r>
            <w:r>
              <w:rPr>
                <w:b/>
                <w:bCs/>
                <w:sz w:val="24"/>
                <w:szCs w:val="24"/>
                <w:lang w:eastAsia="uk-UA"/>
              </w:rPr>
              <w:t>»</w:t>
            </w:r>
            <w:r>
              <w:rPr>
                <w:sz w:val="24"/>
                <w:szCs w:val="24"/>
                <w:lang w:eastAsia="uk-UA"/>
              </w:rPr>
              <w:t xml:space="preserve"> </w:t>
            </w:r>
            <w:r>
              <w:rPr>
                <w:lang w:eastAsia="uk-UA"/>
              </w:rPr>
              <w:t>розробляється відповідно до:</w:t>
            </w:r>
          </w:p>
          <w:p w14:paraId="3C455199">
            <w:pPr>
              <w:keepLines w:val="0"/>
              <w:pageBreakBefore w:val="0"/>
              <w:numPr>
                <w:ilvl w:val="0"/>
                <w:numId w:val="1"/>
              </w:numPr>
              <w:kinsoku/>
              <w:wordWrap/>
              <w:topLinePunct w:val="0"/>
              <w:bidi w:val="0"/>
              <w:snapToGrid/>
              <w:spacing w:beforeAutospacing="0" w:afterAutospacing="0"/>
              <w:ind w:left="0" w:right="0"/>
              <w:jc w:val="both"/>
              <w:rPr>
                <w:lang w:eastAsia="uk-UA"/>
              </w:rPr>
            </w:pPr>
            <w:r>
              <w:rPr>
                <w:b/>
                <w:bCs/>
                <w:lang w:eastAsia="uk-UA"/>
              </w:rPr>
              <w:t>Національної стратегії управління відходами в Україні до 2030 року</w:t>
            </w:r>
            <w:r>
              <w:rPr>
                <w:lang w:eastAsia="uk-UA"/>
              </w:rPr>
              <w:t>, схваленої розпорядженням Кабінету Міністрів України від 08.11.2017 № 820-р;</w:t>
            </w:r>
          </w:p>
          <w:p w14:paraId="7B9ECDC1">
            <w:pPr>
              <w:keepLines w:val="0"/>
              <w:pageBreakBefore w:val="0"/>
              <w:numPr>
                <w:ilvl w:val="0"/>
                <w:numId w:val="1"/>
              </w:numPr>
              <w:kinsoku/>
              <w:wordWrap/>
              <w:topLinePunct w:val="0"/>
              <w:bidi w:val="0"/>
              <w:snapToGrid/>
              <w:spacing w:beforeAutospacing="0" w:afterAutospacing="0"/>
              <w:ind w:left="0" w:right="0"/>
              <w:jc w:val="both"/>
              <w:rPr>
                <w:lang w:eastAsia="uk-UA"/>
              </w:rPr>
            </w:pPr>
            <w:r>
              <w:rPr>
                <w:b/>
                <w:bCs/>
                <w:lang w:eastAsia="uk-UA"/>
              </w:rPr>
              <w:t>Національного плану управління відходами до 2033 року</w:t>
            </w:r>
            <w:r>
              <w:rPr>
                <w:lang w:eastAsia="uk-UA"/>
              </w:rPr>
              <w:t>, затвердженого розпорядженням Кабінету Міністрів України від 27.12.2024 № 1353-р;</w:t>
            </w:r>
          </w:p>
          <w:p w14:paraId="52C79559">
            <w:pPr>
              <w:keepLines w:val="0"/>
              <w:pageBreakBefore w:val="0"/>
              <w:numPr>
                <w:ilvl w:val="0"/>
                <w:numId w:val="1"/>
              </w:numPr>
              <w:kinsoku/>
              <w:wordWrap/>
              <w:topLinePunct w:val="0"/>
              <w:bidi w:val="0"/>
              <w:snapToGrid/>
              <w:spacing w:beforeAutospacing="0" w:afterAutospacing="0"/>
              <w:ind w:left="0" w:right="0"/>
              <w:jc w:val="both"/>
              <w:rPr>
                <w:b/>
                <w:bCs/>
                <w:highlight w:val="none"/>
                <w:lang w:eastAsia="uk-UA"/>
              </w:rPr>
            </w:pPr>
            <w:r>
              <w:rPr>
                <w:b/>
                <w:bCs/>
                <w:highlight w:val="none"/>
                <w:lang w:eastAsia="uk-UA"/>
              </w:rPr>
              <w:t>Регіонального плану управління відходами Дніпропетровської</w:t>
            </w:r>
            <w:r>
              <w:rPr>
                <w:rFonts w:hint="default"/>
                <w:b/>
                <w:bCs/>
                <w:highlight w:val="none"/>
                <w:lang w:val="en-US" w:eastAsia="uk-UA"/>
              </w:rPr>
              <w:t xml:space="preserve"> області до 2034 року</w:t>
            </w:r>
            <w:r>
              <w:rPr>
                <w:b/>
                <w:bCs/>
                <w:highlight w:val="none"/>
                <w:lang w:eastAsia="uk-UA"/>
              </w:rPr>
              <w:t xml:space="preserve">, затвердженого розпорядженням голови ОДА від </w:t>
            </w:r>
            <w:r>
              <w:rPr>
                <w:rFonts w:hint="default"/>
                <w:b/>
                <w:bCs/>
                <w:highlight w:val="none"/>
                <w:lang w:val="en-US" w:eastAsia="uk-UA"/>
              </w:rPr>
              <w:t>17.04.</w:t>
            </w:r>
            <w:r>
              <w:rPr>
                <w:b/>
                <w:bCs/>
                <w:highlight w:val="none"/>
                <w:lang w:eastAsia="uk-UA"/>
              </w:rPr>
              <w:t>2026 №Р</w:t>
            </w:r>
            <w:r>
              <w:rPr>
                <w:rFonts w:hint="default"/>
                <w:b/>
                <w:bCs/>
                <w:highlight w:val="none"/>
                <w:lang w:val="en-US" w:eastAsia="uk-UA"/>
              </w:rPr>
              <w:t>-153</w:t>
            </w:r>
            <w:r>
              <w:rPr>
                <w:b/>
                <w:bCs/>
                <w:highlight w:val="none"/>
                <w:lang w:eastAsia="uk-UA"/>
              </w:rPr>
              <w:t>/0/</w:t>
            </w:r>
            <w:r>
              <w:rPr>
                <w:rFonts w:hint="default"/>
                <w:b/>
                <w:bCs/>
                <w:highlight w:val="none"/>
                <w:lang w:val="en-US" w:eastAsia="uk-UA"/>
              </w:rPr>
              <w:t>3</w:t>
            </w:r>
            <w:r>
              <w:rPr>
                <w:b/>
                <w:bCs/>
                <w:highlight w:val="none"/>
                <w:lang w:eastAsia="uk-UA"/>
              </w:rPr>
              <w:t>-26;</w:t>
            </w:r>
          </w:p>
          <w:p w14:paraId="6F939452">
            <w:pPr>
              <w:keepLines w:val="0"/>
              <w:pageBreakBefore w:val="0"/>
              <w:numPr>
                <w:ilvl w:val="0"/>
                <w:numId w:val="1"/>
              </w:numPr>
              <w:kinsoku/>
              <w:wordWrap/>
              <w:topLinePunct w:val="0"/>
              <w:bidi w:val="0"/>
              <w:snapToGrid/>
              <w:spacing w:beforeAutospacing="0" w:afterAutospacing="0"/>
              <w:ind w:left="0" w:right="0"/>
              <w:jc w:val="both"/>
              <w:rPr>
                <w:lang w:eastAsia="uk-UA"/>
              </w:rPr>
            </w:pPr>
            <w:r>
              <w:rPr>
                <w:b/>
                <w:bCs/>
                <w:lang w:eastAsia="uk-UA"/>
              </w:rPr>
              <w:t>Закону України «Про управління відходами»</w:t>
            </w:r>
            <w:r>
              <w:rPr>
                <w:lang w:eastAsia="uk-UA"/>
              </w:rPr>
              <w:t>;</w:t>
            </w:r>
          </w:p>
          <w:p w14:paraId="5FC370AC">
            <w:pPr>
              <w:keepLines w:val="0"/>
              <w:pageBreakBefore w:val="0"/>
              <w:numPr>
                <w:ilvl w:val="0"/>
                <w:numId w:val="1"/>
              </w:numPr>
              <w:kinsoku/>
              <w:wordWrap/>
              <w:topLinePunct w:val="0"/>
              <w:bidi w:val="0"/>
              <w:snapToGrid/>
              <w:spacing w:beforeAutospacing="0" w:afterAutospacing="0"/>
              <w:ind w:left="0" w:right="0"/>
              <w:jc w:val="both"/>
              <w:rPr>
                <w:lang w:eastAsia="uk-UA"/>
              </w:rPr>
            </w:pPr>
            <w:r>
              <w:rPr>
                <w:b/>
                <w:bCs/>
                <w:lang w:eastAsia="uk-UA"/>
              </w:rPr>
              <w:t>Постанови Кабінету Міністрів України від 05.09.2023 № 947</w:t>
            </w:r>
            <w:r>
              <w:rPr>
                <w:lang w:eastAsia="uk-UA"/>
              </w:rPr>
              <w:br w:type="textWrapping"/>
            </w:r>
            <w:r>
              <w:rPr>
                <w:lang w:eastAsia="uk-UA"/>
              </w:rPr>
              <w:t>«Про затвердження Порядку розроблення, погодження та затвердження місцевих планів управління відходами».</w:t>
            </w:r>
          </w:p>
          <w:p w14:paraId="67F2868A">
            <w:pPr>
              <w:keepLines w:val="0"/>
              <w:pageBreakBefore w:val="0"/>
              <w:kinsoku/>
              <w:wordWrap/>
              <w:topLinePunct w:val="0"/>
              <w:bidi w:val="0"/>
              <w:snapToGrid/>
              <w:spacing w:beforeAutospacing="0" w:afterAutospacing="0"/>
              <w:ind w:left="0" w:right="0"/>
              <w:jc w:val="both"/>
              <w:rPr>
                <w:lang w:eastAsia="uk-UA"/>
              </w:rPr>
            </w:pPr>
            <w:r>
              <w:rPr>
                <w:lang w:eastAsia="uk-UA"/>
              </w:rPr>
              <w:t xml:space="preserve">Місцевий план управління відходами визначає головні напрями державного та місцевого регулювання у сфері поводження з відходами на території </w:t>
            </w:r>
            <w:r>
              <w:rPr>
                <w:rFonts w:hint="default"/>
                <w:b w:val="0"/>
                <w:bCs w:val="0"/>
                <w:color w:val="000000"/>
                <w:sz w:val="24"/>
                <w:szCs w:val="24"/>
                <w:lang w:val="uk-UA"/>
              </w:rPr>
              <w:t>Саксаганської тереторіалної громади Кам’янського району Дніпропетровської області</w:t>
            </w:r>
            <w:r>
              <w:rPr>
                <w:lang w:eastAsia="uk-UA"/>
              </w:rPr>
              <w:t xml:space="preserve"> з урахуванням європейських підходів до управління відходами, що базуються на положеннях таких актів законодавства Європейського Союзу:</w:t>
            </w:r>
          </w:p>
          <w:p w14:paraId="67FF4035">
            <w:pPr>
              <w:keepLines w:val="0"/>
              <w:pageBreakBefore w:val="0"/>
              <w:numPr>
                <w:ilvl w:val="0"/>
                <w:numId w:val="2"/>
              </w:numPr>
              <w:kinsoku/>
              <w:wordWrap/>
              <w:topLinePunct w:val="0"/>
              <w:bidi w:val="0"/>
              <w:snapToGrid/>
              <w:spacing w:beforeAutospacing="0" w:afterAutospacing="0"/>
              <w:ind w:left="0" w:right="0"/>
              <w:rPr>
                <w:lang w:eastAsia="uk-UA"/>
              </w:rPr>
            </w:pPr>
            <w:r>
              <w:rPr>
                <w:lang w:eastAsia="uk-UA"/>
              </w:rPr>
              <w:t xml:space="preserve">Рамкової Директиви Європейського парламенту та Ради </w:t>
            </w:r>
            <w:r>
              <w:rPr>
                <w:b/>
                <w:bCs/>
                <w:lang w:eastAsia="uk-UA"/>
              </w:rPr>
              <w:t>2008/98/ЄС</w:t>
            </w:r>
            <w:r>
              <w:rPr>
                <w:lang w:eastAsia="uk-UA"/>
              </w:rPr>
              <w:t xml:space="preserve"> від 19 листопада 2008 року «Про відходи та скасування деяких директив»;</w:t>
            </w:r>
          </w:p>
          <w:p w14:paraId="4FBF5134">
            <w:pPr>
              <w:keepLines w:val="0"/>
              <w:pageBreakBefore w:val="0"/>
              <w:numPr>
                <w:ilvl w:val="0"/>
                <w:numId w:val="2"/>
              </w:numPr>
              <w:kinsoku/>
              <w:wordWrap/>
              <w:topLinePunct w:val="0"/>
              <w:bidi w:val="0"/>
              <w:snapToGrid/>
              <w:spacing w:beforeAutospacing="0" w:afterAutospacing="0"/>
              <w:ind w:left="0" w:right="0"/>
              <w:rPr>
                <w:lang w:eastAsia="uk-UA"/>
              </w:rPr>
            </w:pPr>
            <w:r>
              <w:rPr>
                <w:lang w:eastAsia="uk-UA"/>
              </w:rPr>
              <w:t xml:space="preserve">Директиви Ради </w:t>
            </w:r>
            <w:r>
              <w:rPr>
                <w:b/>
                <w:bCs/>
                <w:lang w:eastAsia="uk-UA"/>
              </w:rPr>
              <w:t>1999/31/ЄС</w:t>
            </w:r>
            <w:r>
              <w:rPr>
                <w:lang w:eastAsia="uk-UA"/>
              </w:rPr>
              <w:t xml:space="preserve"> від 26 квітня 1999 року «Про захоронення відходів»;</w:t>
            </w:r>
          </w:p>
          <w:p w14:paraId="33814015">
            <w:pPr>
              <w:keepLines w:val="0"/>
              <w:pageBreakBefore w:val="0"/>
              <w:numPr>
                <w:ilvl w:val="0"/>
                <w:numId w:val="2"/>
              </w:numPr>
              <w:kinsoku/>
              <w:wordWrap/>
              <w:topLinePunct w:val="0"/>
              <w:bidi w:val="0"/>
              <w:snapToGrid/>
              <w:spacing w:beforeAutospacing="0" w:afterAutospacing="0"/>
              <w:ind w:left="0" w:right="0"/>
              <w:rPr>
                <w:lang w:eastAsia="uk-UA"/>
              </w:rPr>
            </w:pPr>
            <w:r>
              <w:rPr>
                <w:lang w:eastAsia="uk-UA"/>
              </w:rPr>
              <w:t xml:space="preserve">Директиви Європейського парламенту та Ради </w:t>
            </w:r>
            <w:r>
              <w:rPr>
                <w:b/>
                <w:bCs/>
                <w:lang w:eastAsia="uk-UA"/>
              </w:rPr>
              <w:t>2006/21/ЄС</w:t>
            </w:r>
            <w:r>
              <w:rPr>
                <w:lang w:eastAsia="uk-UA"/>
              </w:rPr>
              <w:t xml:space="preserve"> від 15 березня 2006 року «Про управління відходами видобувних підприємств та внесення змін до Директиви 2004/35/ЄС»;</w:t>
            </w:r>
          </w:p>
          <w:p w14:paraId="6B4BF229">
            <w:pPr>
              <w:keepLines w:val="0"/>
              <w:pageBreakBefore w:val="0"/>
              <w:numPr>
                <w:ilvl w:val="0"/>
                <w:numId w:val="2"/>
              </w:numPr>
              <w:kinsoku/>
              <w:wordWrap/>
              <w:topLinePunct w:val="0"/>
              <w:bidi w:val="0"/>
              <w:snapToGrid/>
              <w:spacing w:beforeAutospacing="0" w:afterAutospacing="0"/>
              <w:ind w:left="0" w:right="0"/>
              <w:rPr>
                <w:lang w:eastAsia="uk-UA"/>
              </w:rPr>
            </w:pPr>
            <w:r>
              <w:rPr>
                <w:lang w:eastAsia="uk-UA"/>
              </w:rPr>
              <w:t xml:space="preserve">Директиви Європейського парламенту та Ради </w:t>
            </w:r>
            <w:r>
              <w:rPr>
                <w:b/>
                <w:bCs/>
                <w:lang w:eastAsia="uk-UA"/>
              </w:rPr>
              <w:t>94/62/ЄС</w:t>
            </w:r>
            <w:r>
              <w:rPr>
                <w:lang w:eastAsia="uk-UA"/>
              </w:rPr>
              <w:t xml:space="preserve"> від 20 грудня 1994 року «Про упаковку та відходи упаковки»;</w:t>
            </w:r>
          </w:p>
          <w:p w14:paraId="479FBE20">
            <w:pPr>
              <w:keepLines w:val="0"/>
              <w:pageBreakBefore w:val="0"/>
              <w:numPr>
                <w:ilvl w:val="0"/>
                <w:numId w:val="2"/>
              </w:numPr>
              <w:kinsoku/>
              <w:wordWrap/>
              <w:topLinePunct w:val="0"/>
              <w:bidi w:val="0"/>
              <w:snapToGrid/>
              <w:spacing w:beforeAutospacing="0" w:afterAutospacing="0"/>
              <w:ind w:left="0" w:right="0"/>
              <w:rPr>
                <w:lang w:eastAsia="uk-UA"/>
              </w:rPr>
            </w:pPr>
            <w:r>
              <w:rPr>
                <w:lang w:eastAsia="uk-UA"/>
              </w:rPr>
              <w:t xml:space="preserve">Директиви Європейського парламенту та Ради </w:t>
            </w:r>
            <w:r>
              <w:rPr>
                <w:b/>
                <w:bCs/>
                <w:lang w:eastAsia="uk-UA"/>
              </w:rPr>
              <w:t>2012/19/ЄС</w:t>
            </w:r>
            <w:r>
              <w:rPr>
                <w:lang w:eastAsia="uk-UA"/>
              </w:rPr>
              <w:t xml:space="preserve"> від 4 липня 2012 року «Про відходи електричного та електронного обладнання (ВЕЕО)»;</w:t>
            </w:r>
          </w:p>
          <w:p w14:paraId="67EFE879">
            <w:pPr>
              <w:keepLines w:val="0"/>
              <w:pageBreakBefore w:val="0"/>
              <w:numPr>
                <w:ilvl w:val="0"/>
                <w:numId w:val="2"/>
              </w:numPr>
              <w:kinsoku/>
              <w:wordWrap/>
              <w:topLinePunct w:val="0"/>
              <w:bidi w:val="0"/>
              <w:snapToGrid/>
              <w:spacing w:beforeAutospacing="0" w:afterAutospacing="0"/>
              <w:ind w:left="0" w:right="0"/>
              <w:rPr>
                <w:lang w:eastAsia="uk-UA"/>
              </w:rPr>
            </w:pPr>
            <w:r>
              <w:rPr>
                <w:lang w:eastAsia="uk-UA"/>
              </w:rPr>
              <w:t xml:space="preserve">Директиви Європейського парламенту та Ради </w:t>
            </w:r>
            <w:r>
              <w:rPr>
                <w:b/>
                <w:bCs/>
                <w:lang w:eastAsia="uk-UA"/>
              </w:rPr>
              <w:t>2006/66/ЄС</w:t>
            </w:r>
            <w:r>
              <w:rPr>
                <w:lang w:eastAsia="uk-UA"/>
              </w:rPr>
              <w:t xml:space="preserve"> від 6 вересня 2006 року «Про батареї та акумулятори і відпрацьовані батареї та акумулятори».</w:t>
            </w:r>
          </w:p>
          <w:p w14:paraId="3DFB890E">
            <w:pPr>
              <w:keepLines w:val="0"/>
              <w:pageBreakBefore w:val="0"/>
              <w:kinsoku/>
              <w:wordWrap/>
              <w:topLinePunct w:val="0"/>
              <w:bidi w:val="0"/>
              <w:snapToGrid/>
              <w:spacing w:beforeAutospacing="0" w:afterAutospacing="0"/>
              <w:ind w:left="0" w:right="0" w:firstLine="284"/>
              <w:jc w:val="both"/>
            </w:pPr>
          </w:p>
        </w:tc>
      </w:tr>
      <w:tr w14:paraId="02DF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14:paraId="65B20C65">
            <w:pPr>
              <w:keepLines w:val="0"/>
              <w:pageBreakBefore w:val="0"/>
              <w:kinsoku/>
              <w:wordWrap/>
              <w:topLinePunct w:val="0"/>
              <w:bidi w:val="0"/>
              <w:snapToGrid/>
              <w:spacing w:beforeAutospacing="0" w:afterAutospacing="0"/>
              <w:ind w:left="0" w:right="0"/>
              <w:rPr>
                <w:lang w:val="en-US"/>
              </w:rPr>
            </w:pPr>
            <w:r>
              <w:rPr>
                <w:lang w:val="en-US"/>
              </w:rPr>
              <w:t>2</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1873E67B">
            <w:pPr>
              <w:keepLines w:val="0"/>
              <w:pageBreakBefore w:val="0"/>
              <w:kinsoku/>
              <w:wordWrap/>
              <w:topLinePunct w:val="0"/>
              <w:bidi w:val="0"/>
              <w:snapToGrid/>
              <w:spacing w:beforeAutospacing="0" w:afterAutospacing="0"/>
              <w:ind w:left="0" w:right="0"/>
              <w:rPr>
                <w:b/>
              </w:rPr>
            </w:pPr>
            <w:r>
              <w:rPr>
                <w:b/>
              </w:rPr>
              <w:t xml:space="preserve">Назва населеного пункту </w:t>
            </w:r>
          </w:p>
        </w:tc>
        <w:tc>
          <w:tcPr>
            <w:tcW w:w="8264" w:type="dxa"/>
            <w:tcBorders>
              <w:top w:val="single" w:color="auto" w:sz="4" w:space="0"/>
              <w:left w:val="single" w:color="auto" w:sz="4" w:space="0"/>
              <w:bottom w:val="single" w:color="auto" w:sz="4" w:space="0"/>
              <w:right w:val="single" w:color="auto" w:sz="4" w:space="0"/>
            </w:tcBorders>
            <w:noWrap w:val="0"/>
            <w:vAlign w:val="top"/>
          </w:tcPr>
          <w:p w14:paraId="0CC5955C">
            <w:pPr>
              <w:keepLines w:val="0"/>
              <w:pageBreakBefore w:val="0"/>
              <w:kinsoku/>
              <w:wordWrap/>
              <w:topLinePunct w:val="0"/>
              <w:bidi w:val="0"/>
              <w:snapToGrid/>
              <w:spacing w:beforeAutospacing="0" w:afterAutospacing="0"/>
              <w:ind w:left="0" w:right="0"/>
              <w:jc w:val="both"/>
              <w:rPr>
                <w:b/>
                <w:lang w:val="uk-UA"/>
              </w:rPr>
            </w:pPr>
            <w:r>
              <w:rPr>
                <w:rFonts w:hint="default"/>
                <w:b/>
                <w:bCs/>
                <w:color w:val="000000"/>
                <w:sz w:val="22"/>
                <w:szCs w:val="22"/>
                <w:lang w:val="uk-UA"/>
              </w:rPr>
              <w:t>Саксаганської тереторіална громади Кам’янського району Дніпропетровської області</w:t>
            </w:r>
          </w:p>
        </w:tc>
      </w:tr>
      <w:tr w14:paraId="1E13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14:paraId="54832652">
            <w:pPr>
              <w:keepLines w:val="0"/>
              <w:pageBreakBefore w:val="0"/>
              <w:kinsoku/>
              <w:wordWrap/>
              <w:topLinePunct w:val="0"/>
              <w:bidi w:val="0"/>
              <w:snapToGrid/>
              <w:spacing w:beforeAutospacing="0" w:afterAutospacing="0"/>
              <w:ind w:left="0" w:right="0"/>
              <w:jc w:val="center"/>
            </w:pPr>
            <w:r>
              <w:t>3</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42742619">
            <w:pPr>
              <w:keepLines w:val="0"/>
              <w:pageBreakBefore w:val="0"/>
              <w:kinsoku/>
              <w:wordWrap/>
              <w:topLinePunct w:val="0"/>
              <w:bidi w:val="0"/>
              <w:snapToGrid/>
              <w:spacing w:beforeAutospacing="0" w:afterAutospacing="0"/>
              <w:ind w:left="0" w:right="0"/>
              <w:rPr>
                <w:b/>
              </w:rPr>
            </w:pPr>
            <w:r>
              <w:rPr>
                <w:b/>
              </w:rPr>
              <w:t>Мета та основні завдання</w:t>
            </w:r>
          </w:p>
        </w:tc>
        <w:tc>
          <w:tcPr>
            <w:tcW w:w="8264" w:type="dxa"/>
            <w:tcBorders>
              <w:top w:val="single" w:color="auto" w:sz="4" w:space="0"/>
              <w:left w:val="single" w:color="auto" w:sz="4" w:space="0"/>
              <w:bottom w:val="single" w:color="auto" w:sz="4" w:space="0"/>
              <w:right w:val="single" w:color="auto" w:sz="4" w:space="0"/>
            </w:tcBorders>
            <w:noWrap w:val="0"/>
            <w:vAlign w:val="top"/>
          </w:tcPr>
          <w:p w14:paraId="15A0F8D8">
            <w:pPr>
              <w:keepNext/>
              <w:keepLines w:val="0"/>
              <w:pageBreakBefore w:val="0"/>
              <w:tabs>
                <w:tab w:val="left" w:pos="1800"/>
              </w:tabs>
              <w:kinsoku/>
              <w:wordWrap/>
              <w:overflowPunct w:val="0"/>
              <w:topLinePunct w:val="0"/>
              <w:autoSpaceDE w:val="0"/>
              <w:autoSpaceDN w:val="0"/>
              <w:bidi w:val="0"/>
              <w:adjustRightInd w:val="0"/>
              <w:snapToGrid/>
              <w:spacing w:beforeAutospacing="0" w:afterAutospacing="0"/>
              <w:ind w:left="0" w:right="0" w:firstLine="398"/>
              <w:jc w:val="both"/>
              <w:textAlignment w:val="baseline"/>
              <w:outlineLvl w:val="3"/>
              <w:rPr>
                <w:snapToGrid w:val="0"/>
              </w:rPr>
            </w:pPr>
            <w:r>
              <w:t>М</w:t>
            </w:r>
            <w:r>
              <w:rPr>
                <w:snapToGrid w:val="0"/>
              </w:rPr>
              <w:t xml:space="preserve">етою розроблення </w:t>
            </w:r>
            <w:r>
              <w:rPr>
                <w:rFonts w:eastAsia="Arial"/>
                <w:b w:val="0"/>
                <w:bCs w:val="0"/>
                <w:iCs/>
                <w:color w:val="000000"/>
                <w:spacing w:val="-3"/>
                <w:lang w:eastAsia="zh-CN"/>
              </w:rPr>
              <w:t>Місцевого плану управління відходами</w:t>
            </w:r>
            <w:r>
              <w:rPr>
                <w:rFonts w:eastAsia="Arial"/>
                <w:b/>
                <w:bCs/>
                <w:iCs/>
                <w:color w:val="000000"/>
                <w:spacing w:val="-3"/>
                <w:lang w:eastAsia="zh-CN"/>
              </w:rPr>
              <w:t xml:space="preserve"> </w:t>
            </w:r>
            <w:r>
              <w:rPr>
                <w:rFonts w:hint="default"/>
                <w:color w:val="000000"/>
                <w:sz w:val="22"/>
                <w:szCs w:val="22"/>
                <w:lang w:val="uk-UA"/>
              </w:rPr>
              <w:t xml:space="preserve">Саксаганської тереторіалної громади Кам’янського району Дніпропетровської області </w:t>
            </w:r>
            <w:r>
              <w:rPr>
                <w:snapToGrid w:val="0"/>
              </w:rPr>
              <w:t xml:space="preserve">є </w:t>
            </w:r>
            <w:r>
              <w:t>необхідність створення та забезпечення ефективного функціонування</w:t>
            </w:r>
            <w:r>
              <w:rPr>
                <w:shd w:val="clear" w:color="auto" w:fill="FFFFFF"/>
              </w:rPr>
              <w:t xml:space="preserve"> системи управління відходами </w:t>
            </w:r>
            <w:r>
              <w:rPr>
                <w:snapToGrid w:val="0"/>
              </w:rPr>
              <w:t>у</w:t>
            </w:r>
            <w:r>
              <w:rPr>
                <w:rFonts w:eastAsia="Arial"/>
                <w:b/>
                <w:bCs/>
                <w:iCs/>
                <w:color w:val="000000"/>
                <w:spacing w:val="-3"/>
                <w:lang w:eastAsia="zh-CN"/>
              </w:rPr>
              <w:t xml:space="preserve"> </w:t>
            </w:r>
            <w:r>
              <w:rPr>
                <w:rFonts w:hint="default"/>
                <w:color w:val="000000"/>
                <w:sz w:val="22"/>
                <w:szCs w:val="22"/>
                <w:lang w:val="uk-UA"/>
              </w:rPr>
              <w:t>Саксаганської тереторіалної громади Кам’янського району Дніпропетровської області</w:t>
            </w:r>
            <w:r>
              <w:rPr>
                <w:rFonts w:eastAsia="Arial"/>
                <w:b/>
                <w:bCs/>
                <w:iCs/>
                <w:color w:val="000000"/>
                <w:spacing w:val="-3"/>
                <w:lang w:eastAsia="zh-CN"/>
              </w:rPr>
              <w:t xml:space="preserve"> </w:t>
            </w:r>
            <w:r>
              <w:rPr>
                <w:shd w:val="clear" w:color="auto" w:fill="FFFFFF"/>
              </w:rPr>
              <w:t>на інноваційних засадах, впровадження</w:t>
            </w:r>
            <w:r>
              <w:t xml:space="preserve"> планування, що передбачатиме виконання ряду заходів, спрямованих на реформування та удосконалення системи управління відходами в громаді та області, </w:t>
            </w:r>
            <w:r>
              <w:rPr>
                <w:color w:val="000000"/>
              </w:rPr>
              <w:t>вибір оптимальної системи поводження з відходами (визначення інфраструктури для збирання, роздільного збирання, оброблення, перероблення та видалення відходів; наведення інформації про заплановані технології та методи управління відходами) та практичні заходи, що необхідні для її впровадження.</w:t>
            </w:r>
          </w:p>
          <w:p w14:paraId="54E100C8">
            <w:pPr>
              <w:keepLines w:val="0"/>
              <w:pageBreakBefore w:val="0"/>
              <w:shd w:val="clear" w:color="auto" w:fill="FFFFFF"/>
              <w:kinsoku/>
              <w:wordWrap/>
              <w:topLinePunct w:val="0"/>
              <w:bidi w:val="0"/>
              <w:snapToGrid/>
              <w:spacing w:beforeAutospacing="0" w:afterAutospacing="0"/>
              <w:ind w:left="0" w:right="0" w:firstLine="432"/>
              <w:jc w:val="both"/>
              <w:textAlignment w:val="baseline"/>
              <w:rPr>
                <w:color w:val="000000"/>
                <w:shd w:val="clear" w:color="auto" w:fill="FFFFFF"/>
                <w:lang w:val="uk-UA"/>
              </w:rPr>
            </w:pPr>
            <w:r>
              <w:rPr>
                <w:color w:val="000000"/>
                <w:shd w:val="clear" w:color="auto" w:fill="FFFFFF"/>
              </w:rPr>
              <w:t xml:space="preserve">Основними завданнями розроблення </w:t>
            </w:r>
            <w:r>
              <w:rPr>
                <w:rFonts w:eastAsia="Arial"/>
                <w:b w:val="0"/>
                <w:bCs w:val="0"/>
                <w:iCs/>
                <w:color w:val="000000"/>
                <w:spacing w:val="-3"/>
                <w:lang w:eastAsia="zh-CN"/>
              </w:rPr>
              <w:t>Місцевого плану управління відходами</w:t>
            </w:r>
            <w:r>
              <w:rPr>
                <w:b w:val="0"/>
                <w:bCs w:val="0"/>
              </w:rPr>
              <w:t xml:space="preserve"> </w:t>
            </w:r>
            <w:r>
              <w:rPr>
                <w:rFonts w:hint="default"/>
                <w:b w:val="0"/>
                <w:bCs w:val="0"/>
                <w:color w:val="000000"/>
                <w:sz w:val="22"/>
                <w:szCs w:val="22"/>
                <w:lang w:val="uk-UA"/>
              </w:rPr>
              <w:t>Саксаганської тереторіалної громади Кам’янського району Дніпропетровської області</w:t>
            </w:r>
            <w:r>
              <w:rPr>
                <w:rFonts w:eastAsia="Arial"/>
                <w:b/>
                <w:bCs/>
                <w:iCs/>
                <w:color w:val="000000"/>
                <w:spacing w:val="-3"/>
                <w:lang w:eastAsia="zh-CN"/>
              </w:rPr>
              <w:t xml:space="preserve"> </w:t>
            </w:r>
            <w:r>
              <w:rPr>
                <w:color w:val="000000"/>
                <w:shd w:val="clear" w:color="auto" w:fill="FFFFFF"/>
              </w:rPr>
              <w:t xml:space="preserve">є визначення конкретних суспільних, освітньо-виховних, організаційно-технічних, регуляторних, технологічних та технічних заходів, передбачених Національною стратегією управління відходами до 2030 року, відповідальних виконавців та строків здійснення заходів, джерел та обсягів фінансового забезпечення, засобів контролю за станом здійснення заходів та проведення моніторингу результатів реформування у сфері управління відходами на території </w:t>
            </w:r>
            <w:r>
              <w:rPr>
                <w:rFonts w:hint="default"/>
                <w:b w:val="0"/>
                <w:bCs w:val="0"/>
                <w:color w:val="000000"/>
                <w:sz w:val="24"/>
                <w:szCs w:val="24"/>
                <w:lang w:val="uk-UA"/>
              </w:rPr>
              <w:t>Саксаганської тереторіалної громади Кам’янського району Дніпропетровської області</w:t>
            </w:r>
            <w:r>
              <w:rPr>
                <w:color w:val="000000"/>
                <w:shd w:val="clear" w:color="auto" w:fill="FFFFFF"/>
                <w:lang w:val="uk-UA"/>
              </w:rPr>
              <w:t>.</w:t>
            </w:r>
          </w:p>
          <w:p w14:paraId="66DC45BA">
            <w:pPr>
              <w:keepLines w:val="0"/>
              <w:pageBreakBefore w:val="0"/>
              <w:shd w:val="clear" w:color="auto" w:fill="FFFFFF"/>
              <w:kinsoku/>
              <w:wordWrap/>
              <w:topLinePunct w:val="0"/>
              <w:bidi w:val="0"/>
              <w:snapToGrid/>
              <w:spacing w:beforeAutospacing="0" w:afterAutospacing="0"/>
              <w:ind w:left="0" w:right="0" w:firstLine="432"/>
              <w:jc w:val="both"/>
              <w:textAlignment w:val="baseline"/>
              <w:rPr>
                <w:color w:val="000000"/>
              </w:rPr>
            </w:pPr>
            <w:r>
              <w:rPr>
                <w:b w:val="0"/>
                <w:bCs w:val="0"/>
                <w:color w:val="000000"/>
                <w:shd w:val="clear" w:color="auto" w:fill="FFFFFF"/>
              </w:rPr>
              <w:t xml:space="preserve">  </w:t>
            </w:r>
            <w:r>
              <w:rPr>
                <w:b w:val="0"/>
                <w:bCs w:val="0"/>
                <w:snapToGrid w:val="0"/>
              </w:rPr>
              <w:t>Місцевий план управління відходами</w:t>
            </w:r>
            <w:r>
              <w:rPr>
                <w:b w:val="0"/>
                <w:bCs w:val="0"/>
              </w:rPr>
              <w:t xml:space="preserve"> </w:t>
            </w:r>
            <w:r>
              <w:rPr>
                <w:rFonts w:hint="default"/>
                <w:b w:val="0"/>
                <w:bCs w:val="0"/>
                <w:color w:val="000000"/>
                <w:sz w:val="22"/>
                <w:szCs w:val="22"/>
                <w:lang w:val="uk-UA"/>
              </w:rPr>
              <w:t>Саксаганської тереторіалної громади Кам’янського району Дніпропетровської області</w:t>
            </w:r>
            <w:r>
              <w:rPr>
                <w:rFonts w:eastAsia="Arial"/>
                <w:b/>
                <w:bCs/>
                <w:iCs/>
                <w:color w:val="000000"/>
                <w:spacing w:val="-3"/>
                <w:lang w:eastAsia="zh-CN"/>
              </w:rPr>
              <w:t xml:space="preserve">  </w:t>
            </w:r>
            <w:r>
              <w:t xml:space="preserve">повинен охоплювати всі види діяльності, що належать до повноважень відповідних структурних підрозділів </w:t>
            </w:r>
            <w:r>
              <w:rPr>
                <w:rFonts w:hint="default"/>
                <w:color w:val="000000"/>
                <w:sz w:val="22"/>
                <w:szCs w:val="22"/>
                <w:lang w:val="uk-UA"/>
              </w:rPr>
              <w:t>Саксаганської тереторіалної громади Кам’янського району Дніпропетровської області</w:t>
            </w:r>
          </w:p>
        </w:tc>
      </w:tr>
      <w:tr w14:paraId="0F121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14:paraId="1CB6B89A">
            <w:pPr>
              <w:keepLines w:val="0"/>
              <w:pageBreakBefore w:val="0"/>
              <w:kinsoku/>
              <w:wordWrap/>
              <w:topLinePunct w:val="0"/>
              <w:bidi w:val="0"/>
              <w:snapToGrid/>
              <w:spacing w:beforeAutospacing="0" w:afterAutospacing="0"/>
              <w:ind w:left="0" w:right="0"/>
              <w:jc w:val="center"/>
            </w:pPr>
            <w:r>
              <w:t>4</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E07F136">
            <w:pPr>
              <w:keepLines w:val="0"/>
              <w:pageBreakBefore w:val="0"/>
              <w:kinsoku/>
              <w:wordWrap/>
              <w:topLinePunct w:val="0"/>
              <w:bidi w:val="0"/>
              <w:snapToGrid/>
              <w:spacing w:beforeAutospacing="0" w:afterAutospacing="0"/>
              <w:ind w:left="0" w:right="0"/>
              <w:rPr>
                <w:b/>
              </w:rPr>
            </w:pPr>
            <w:r>
              <w:rPr>
                <w:b/>
              </w:rPr>
              <w:t>Структура Місцевого плану управління відходами</w:t>
            </w:r>
          </w:p>
        </w:tc>
        <w:tc>
          <w:tcPr>
            <w:tcW w:w="8264" w:type="dxa"/>
            <w:tcBorders>
              <w:top w:val="single" w:color="auto" w:sz="4" w:space="0"/>
              <w:left w:val="single" w:color="auto" w:sz="4" w:space="0"/>
              <w:bottom w:val="single" w:color="auto" w:sz="4" w:space="0"/>
              <w:right w:val="single" w:color="auto" w:sz="4" w:space="0"/>
            </w:tcBorders>
            <w:noWrap w:val="0"/>
            <w:vAlign w:val="top"/>
          </w:tcPr>
          <w:p w14:paraId="3BA774D5">
            <w:pPr>
              <w:keepLines w:val="0"/>
              <w:pageBreakBefore w:val="0"/>
              <w:kinsoku/>
              <w:wordWrap/>
              <w:topLinePunct w:val="0"/>
              <w:bidi w:val="0"/>
              <w:snapToGrid/>
              <w:spacing w:beforeAutospacing="0" w:afterAutospacing="0"/>
              <w:ind w:left="0" w:right="0"/>
            </w:pPr>
            <w:r>
              <w:t>Проект місцевого плану повинен містити наступні розділи:</w:t>
            </w:r>
          </w:p>
          <w:p w14:paraId="4C8E907D">
            <w:pPr>
              <w:keepLines w:val="0"/>
              <w:pageBreakBefore w:val="0"/>
              <w:numPr>
                <w:ilvl w:val="0"/>
                <w:numId w:val="3"/>
              </w:numPr>
              <w:kinsoku/>
              <w:wordWrap/>
              <w:topLinePunct w:val="0"/>
              <w:bidi w:val="0"/>
              <w:snapToGrid/>
              <w:spacing w:beforeAutospacing="0" w:afterAutospacing="0"/>
              <w:ind w:left="0" w:right="0"/>
            </w:pPr>
            <w:r>
              <w:t>Вступна частина;</w:t>
            </w:r>
          </w:p>
          <w:p w14:paraId="21E53B82">
            <w:pPr>
              <w:keepLines w:val="0"/>
              <w:pageBreakBefore w:val="0"/>
              <w:kinsoku/>
              <w:wordWrap/>
              <w:topLinePunct w:val="0"/>
              <w:bidi w:val="0"/>
              <w:snapToGrid/>
              <w:spacing w:beforeAutospacing="0" w:afterAutospacing="0"/>
              <w:ind w:left="0" w:right="0"/>
            </w:pPr>
            <w:r>
              <w:t xml:space="preserve">Розділ </w:t>
            </w:r>
            <w:r>
              <w:rPr>
                <w:lang w:val="en-US"/>
              </w:rPr>
              <w:t>I</w:t>
            </w:r>
            <w:r>
              <w:t>. Характеристика територіальної громади;</w:t>
            </w:r>
          </w:p>
          <w:p w14:paraId="7F0CD8C1">
            <w:pPr>
              <w:keepLines w:val="0"/>
              <w:pageBreakBefore w:val="0"/>
              <w:numPr>
                <w:ilvl w:val="0"/>
                <w:numId w:val="3"/>
              </w:numPr>
              <w:kinsoku/>
              <w:wordWrap/>
              <w:topLinePunct w:val="0"/>
              <w:bidi w:val="0"/>
              <w:snapToGrid/>
              <w:spacing w:beforeAutospacing="0" w:afterAutospacing="0"/>
              <w:ind w:left="0" w:right="0"/>
            </w:pPr>
            <w:r>
              <w:t xml:space="preserve">Розділ </w:t>
            </w:r>
            <w:r>
              <w:rPr>
                <w:lang w:val="en-US"/>
              </w:rPr>
              <w:t>II</w:t>
            </w:r>
            <w:r>
              <w:t>. Аналіз поточного стану управління відходами на території територіальної громади;</w:t>
            </w:r>
          </w:p>
          <w:p w14:paraId="29BFA597">
            <w:pPr>
              <w:keepLines w:val="0"/>
              <w:pageBreakBefore w:val="0"/>
              <w:numPr>
                <w:ilvl w:val="0"/>
                <w:numId w:val="3"/>
              </w:numPr>
              <w:kinsoku/>
              <w:wordWrap/>
              <w:topLinePunct w:val="0"/>
              <w:bidi w:val="0"/>
              <w:snapToGrid/>
              <w:spacing w:beforeAutospacing="0" w:afterAutospacing="0"/>
              <w:ind w:left="0" w:right="0"/>
            </w:pPr>
            <w:r>
              <w:t xml:space="preserve">Розділ </w:t>
            </w:r>
            <w:r>
              <w:rPr>
                <w:lang w:val="en-US"/>
              </w:rPr>
              <w:t>III</w:t>
            </w:r>
            <w:r>
              <w:t>. Планування управлінням відходами територіальної громади;</w:t>
            </w:r>
          </w:p>
          <w:p w14:paraId="358F0FDA">
            <w:pPr>
              <w:keepLines w:val="0"/>
              <w:pageBreakBefore w:val="0"/>
              <w:numPr>
                <w:ilvl w:val="0"/>
                <w:numId w:val="3"/>
              </w:numPr>
              <w:kinsoku/>
              <w:wordWrap/>
              <w:topLinePunct w:val="0"/>
              <w:bidi w:val="0"/>
              <w:snapToGrid/>
              <w:spacing w:beforeAutospacing="0" w:afterAutospacing="0"/>
              <w:ind w:left="0" w:right="0"/>
            </w:pPr>
            <w:r>
              <w:t xml:space="preserve">Розділ </w:t>
            </w:r>
            <w:r>
              <w:rPr>
                <w:lang w:val="en-US"/>
              </w:rPr>
              <w:t>IV</w:t>
            </w:r>
            <w:r>
              <w:t>. Моніторинг та оцінка ефективності виконання місцевого плану;</w:t>
            </w:r>
          </w:p>
          <w:p w14:paraId="4D215DF2">
            <w:pPr>
              <w:keepLines w:val="0"/>
              <w:pageBreakBefore w:val="0"/>
              <w:numPr>
                <w:ilvl w:val="0"/>
                <w:numId w:val="3"/>
              </w:numPr>
              <w:kinsoku/>
              <w:wordWrap/>
              <w:topLinePunct w:val="0"/>
              <w:bidi w:val="0"/>
              <w:snapToGrid/>
              <w:spacing w:beforeAutospacing="0" w:afterAutospacing="0"/>
              <w:ind w:left="0" w:right="0"/>
            </w:pPr>
            <w:r>
              <w:t xml:space="preserve">Розділ </w:t>
            </w:r>
            <w:r>
              <w:rPr>
                <w:lang w:val="en-US"/>
              </w:rPr>
              <w:t>V</w:t>
            </w:r>
            <w:r>
              <w:t>. Інформація про стратегічну екологічну оцінку;</w:t>
            </w:r>
          </w:p>
          <w:p w14:paraId="3DC79363">
            <w:pPr>
              <w:keepLines w:val="0"/>
              <w:pageBreakBefore w:val="0"/>
              <w:numPr>
                <w:ilvl w:val="0"/>
                <w:numId w:val="3"/>
              </w:numPr>
              <w:kinsoku/>
              <w:wordWrap/>
              <w:topLinePunct w:val="0"/>
              <w:bidi w:val="0"/>
              <w:snapToGrid/>
              <w:spacing w:beforeAutospacing="0" w:afterAutospacing="0"/>
              <w:ind w:left="0" w:right="0"/>
            </w:pPr>
            <w:r>
              <w:t>Інформаційні джерела;</w:t>
            </w:r>
          </w:p>
          <w:p w14:paraId="1C93D717">
            <w:pPr>
              <w:keepLines w:val="0"/>
              <w:pageBreakBefore w:val="0"/>
              <w:numPr>
                <w:ilvl w:val="0"/>
                <w:numId w:val="3"/>
              </w:numPr>
              <w:kinsoku/>
              <w:wordWrap/>
              <w:topLinePunct w:val="0"/>
              <w:bidi w:val="0"/>
              <w:snapToGrid/>
              <w:spacing w:beforeAutospacing="0" w:afterAutospacing="0"/>
              <w:ind w:left="0" w:right="0"/>
            </w:pPr>
            <w:r>
              <w:t xml:space="preserve">Додатки. </w:t>
            </w:r>
          </w:p>
        </w:tc>
      </w:tr>
      <w:tr w14:paraId="5E72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14:paraId="54D4A91B">
            <w:pPr>
              <w:keepLines w:val="0"/>
              <w:pageBreakBefore w:val="0"/>
              <w:kinsoku/>
              <w:wordWrap/>
              <w:topLinePunct w:val="0"/>
              <w:bidi w:val="0"/>
              <w:snapToGrid/>
              <w:spacing w:beforeAutospacing="0" w:afterAutospacing="0"/>
              <w:ind w:left="0" w:right="0"/>
              <w:jc w:val="center"/>
            </w:pPr>
            <w:r>
              <w:t>5</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1D925C14">
            <w:pPr>
              <w:keepLines w:val="0"/>
              <w:pageBreakBefore w:val="0"/>
              <w:kinsoku/>
              <w:wordWrap/>
              <w:topLinePunct w:val="0"/>
              <w:bidi w:val="0"/>
              <w:snapToGrid/>
              <w:spacing w:beforeAutospacing="0" w:afterAutospacing="0"/>
              <w:ind w:left="0" w:right="0"/>
              <w:rPr>
                <w:b/>
              </w:rPr>
            </w:pPr>
            <w:r>
              <w:rPr>
                <w:b/>
              </w:rPr>
              <w:t xml:space="preserve">Зміст розділів Місцевого плану управління відходами </w:t>
            </w:r>
          </w:p>
        </w:tc>
        <w:tc>
          <w:tcPr>
            <w:tcW w:w="8264" w:type="dxa"/>
            <w:tcBorders>
              <w:top w:val="single" w:color="auto" w:sz="4" w:space="0"/>
              <w:left w:val="single" w:color="auto" w:sz="4" w:space="0"/>
              <w:bottom w:val="single" w:color="auto" w:sz="4" w:space="0"/>
              <w:right w:val="single" w:color="auto" w:sz="4" w:space="0"/>
            </w:tcBorders>
            <w:noWrap w:val="0"/>
            <w:vAlign w:val="top"/>
          </w:tcPr>
          <w:p w14:paraId="394DEEAA">
            <w:pPr>
              <w:keepLines w:val="0"/>
              <w:pageBreakBefore w:val="0"/>
              <w:shd w:val="clear" w:color="auto" w:fill="FFFFFF"/>
              <w:kinsoku/>
              <w:wordWrap/>
              <w:topLinePunct w:val="0"/>
              <w:bidi w:val="0"/>
              <w:snapToGrid/>
              <w:spacing w:beforeAutospacing="0" w:afterAutospacing="0"/>
              <w:ind w:left="0" w:right="0" w:firstLine="322"/>
              <w:jc w:val="both"/>
              <w:rPr>
                <w:b/>
                <w:bCs/>
                <w:lang w:eastAsia="uk-UA"/>
              </w:rPr>
            </w:pPr>
            <w:r>
              <w:rPr>
                <w:b/>
                <w:bCs/>
                <w:lang w:eastAsia="uk-UA"/>
              </w:rPr>
              <w:t>Під час інформаційного наповнення розділів Місцевого плану управління відходами необхідно враховувати наступне.</w:t>
            </w:r>
          </w:p>
          <w:p w14:paraId="49A51155">
            <w:pPr>
              <w:keepLines w:val="0"/>
              <w:pageBreakBefore w:val="0"/>
              <w:shd w:val="clear" w:color="auto" w:fill="FFFFFF"/>
              <w:kinsoku/>
              <w:wordWrap/>
              <w:topLinePunct w:val="0"/>
              <w:bidi w:val="0"/>
              <w:snapToGrid/>
              <w:spacing w:beforeAutospacing="0" w:afterAutospacing="0"/>
              <w:ind w:left="0" w:right="0" w:firstLine="322"/>
              <w:jc w:val="both"/>
              <w:rPr>
                <w:lang w:eastAsia="uk-UA"/>
              </w:rPr>
            </w:pPr>
            <w:r>
              <w:rPr>
                <w:lang w:eastAsia="uk-UA"/>
              </w:rPr>
              <w:t xml:space="preserve">У розділі </w:t>
            </w:r>
            <w:r>
              <w:rPr>
                <w:b/>
                <w:lang w:eastAsia="uk-UA"/>
              </w:rPr>
              <w:t>«Вступна частина»</w:t>
            </w:r>
            <w:r>
              <w:rPr>
                <w:lang w:eastAsia="uk-UA"/>
              </w:rPr>
              <w:t xml:space="preserve"> наводяться нормативно-правові акти та програмні документи національного та регіонального рівня, на виконання яких розробляється місцевий план. Також у цьому розділі формулюється основна мета місцевого плану управління відходами.</w:t>
            </w:r>
          </w:p>
          <w:p w14:paraId="2B91062F">
            <w:pPr>
              <w:keepLines w:val="0"/>
              <w:pageBreakBefore w:val="0"/>
              <w:shd w:val="clear" w:color="auto" w:fill="FFFFFF"/>
              <w:kinsoku/>
              <w:wordWrap/>
              <w:topLinePunct w:val="0"/>
              <w:bidi w:val="0"/>
              <w:snapToGrid/>
              <w:spacing w:beforeAutospacing="0" w:afterAutospacing="0"/>
              <w:ind w:left="0" w:right="0" w:firstLine="322"/>
              <w:jc w:val="both"/>
              <w:rPr>
                <w:lang w:eastAsia="uk-UA"/>
              </w:rPr>
            </w:pPr>
            <w:r>
              <w:rPr>
                <w:lang w:eastAsia="uk-UA"/>
              </w:rPr>
              <w:t xml:space="preserve">У розділі </w:t>
            </w:r>
            <w:r>
              <w:rPr>
                <w:b/>
                <w:lang w:eastAsia="uk-UA"/>
              </w:rPr>
              <w:t>«Характеристика територіальної громади»</w:t>
            </w:r>
            <w:r>
              <w:rPr>
                <w:lang w:eastAsia="uk-UA"/>
              </w:rPr>
              <w:t xml:space="preserve"> відображаються особливості територіальної громади, які відіграють важливе значення для визначення параметрів системи управління відходами територіальної громади, а саме: адміністративно-територіальний устрій, природно-географічна характеристика, демографічна та соціальна характеристика, економічна характеристика.</w:t>
            </w:r>
          </w:p>
          <w:p w14:paraId="11DBEA3B">
            <w:pPr>
              <w:keepLines w:val="0"/>
              <w:pageBreakBefore w:val="0"/>
              <w:shd w:val="clear" w:color="auto" w:fill="FFFFFF"/>
              <w:kinsoku/>
              <w:wordWrap/>
              <w:topLinePunct w:val="0"/>
              <w:bidi w:val="0"/>
              <w:snapToGrid/>
              <w:spacing w:beforeAutospacing="0" w:afterAutospacing="0"/>
              <w:ind w:left="0" w:right="0" w:firstLine="322"/>
              <w:jc w:val="both"/>
              <w:rPr>
                <w:lang w:eastAsia="uk-UA"/>
              </w:rPr>
            </w:pPr>
            <w:r>
              <w:rPr>
                <w:lang w:eastAsia="uk-UA"/>
              </w:rPr>
              <w:t xml:space="preserve">У розділі </w:t>
            </w:r>
            <w:r>
              <w:rPr>
                <w:b/>
                <w:lang w:eastAsia="uk-UA"/>
              </w:rPr>
              <w:t>«Аналіз поточного стану управління відходами територіальної громади»</w:t>
            </w:r>
            <w:r>
              <w:rPr>
                <w:lang w:eastAsia="uk-UA"/>
              </w:rPr>
              <w:t xml:space="preserve"> надається загальна характеристика управління відходами в громаді; опис поточного стану за видами відходів; критерії розміщення об’єктів оброблення відходів, потоків відходів, суб’єктів господарювання, що здійснюють операції з управління відходами, їх організаційної структури, інші наявні та передбачені місцевим планом управління відходами об’єкти оброблення відходів, орієнтовані на обслуговування територіальної громади, місця їх розташування та основні характеристики на території громади; перелік суб’єктів господарювання, що здійснюють операції з управління відходами, їх напрям діяльності та технічне забезпечення; аналіз ефективності управління відходами територіальної громади.</w:t>
            </w:r>
          </w:p>
          <w:p w14:paraId="7545E7DA">
            <w:pPr>
              <w:keepLines w:val="0"/>
              <w:pageBreakBefore w:val="0"/>
              <w:shd w:val="clear" w:color="auto" w:fill="FFFFFF"/>
              <w:kinsoku/>
              <w:wordWrap/>
              <w:topLinePunct w:val="0"/>
              <w:bidi w:val="0"/>
              <w:snapToGrid/>
              <w:spacing w:beforeAutospacing="0" w:afterAutospacing="0"/>
              <w:ind w:left="0" w:right="0" w:firstLine="322"/>
              <w:jc w:val="both"/>
              <w:rPr>
                <w:lang w:eastAsia="uk-UA"/>
              </w:rPr>
            </w:pPr>
            <w:r>
              <w:rPr>
                <w:lang w:eastAsia="uk-UA"/>
              </w:rPr>
              <w:t>Під час опису поточного стану управління відходами зазначається інформація за такими видами відходів:</w:t>
            </w:r>
          </w:p>
          <w:p w14:paraId="6BA3444D">
            <w:pPr>
              <w:keepLines w:val="0"/>
              <w:pageBreakBefore w:val="0"/>
              <w:kinsoku/>
              <w:wordWrap/>
              <w:topLinePunct w:val="0"/>
              <w:bidi w:val="0"/>
              <w:snapToGrid/>
              <w:spacing w:beforeAutospacing="0" w:afterAutospacing="0" w:line="228" w:lineRule="auto"/>
              <w:ind w:left="0" w:right="0" w:firstLine="567"/>
              <w:jc w:val="both"/>
            </w:pPr>
            <w:r>
              <w:t>побутові відходи;</w:t>
            </w:r>
          </w:p>
          <w:p w14:paraId="4D7C538D">
            <w:pPr>
              <w:keepLines w:val="0"/>
              <w:pageBreakBefore w:val="0"/>
              <w:kinsoku/>
              <w:wordWrap/>
              <w:topLinePunct w:val="0"/>
              <w:bidi w:val="0"/>
              <w:snapToGrid/>
              <w:spacing w:beforeAutospacing="0" w:afterAutospacing="0" w:line="228" w:lineRule="auto"/>
              <w:ind w:left="0" w:right="0" w:firstLine="567"/>
              <w:jc w:val="both"/>
            </w:pPr>
            <w:r>
              <w:t>небезпечні відходи (окремо зазначаються відпрацьовані нафтопродукти, відходи, що містять стійкі органічні забруднювачі, відходи, що містять ртуть, а також відходи, що містять поліхлоровані дифеніли/поліхлоровані терфеніли);</w:t>
            </w:r>
          </w:p>
          <w:p w14:paraId="2DBE26F1">
            <w:pPr>
              <w:keepLines w:val="0"/>
              <w:pageBreakBefore w:val="0"/>
              <w:kinsoku/>
              <w:wordWrap/>
              <w:topLinePunct w:val="0"/>
              <w:bidi w:val="0"/>
              <w:snapToGrid/>
              <w:spacing w:beforeAutospacing="0" w:afterAutospacing="0" w:line="228" w:lineRule="auto"/>
              <w:ind w:left="0" w:right="0" w:firstLine="567"/>
              <w:jc w:val="both"/>
            </w:pPr>
            <w:r>
              <w:t>відходи промисловості (промислові відходи, відходи видобувної промисловості, відходи будівництва та знесення);</w:t>
            </w:r>
          </w:p>
          <w:p w14:paraId="796E2105">
            <w:pPr>
              <w:keepLines w:val="0"/>
              <w:pageBreakBefore w:val="0"/>
              <w:kinsoku/>
              <w:wordWrap/>
              <w:topLinePunct w:val="0"/>
              <w:bidi w:val="0"/>
              <w:snapToGrid/>
              <w:spacing w:beforeAutospacing="0" w:afterAutospacing="0" w:line="228" w:lineRule="auto"/>
              <w:ind w:left="0" w:right="0" w:firstLine="567"/>
              <w:jc w:val="both"/>
            </w:pPr>
            <w:r>
              <w:t>рослинні відходи сільського господарства та лісового господарства, харчопереробної промисловості, деревні відходи, біовідходи;</w:t>
            </w:r>
          </w:p>
          <w:p w14:paraId="5DD084F9">
            <w:pPr>
              <w:keepLines w:val="0"/>
              <w:pageBreakBefore w:val="0"/>
              <w:kinsoku/>
              <w:wordWrap/>
              <w:topLinePunct w:val="0"/>
              <w:bidi w:val="0"/>
              <w:snapToGrid/>
              <w:spacing w:beforeAutospacing="0" w:afterAutospacing="0" w:line="228" w:lineRule="auto"/>
              <w:ind w:left="0" w:right="0" w:firstLine="567"/>
              <w:jc w:val="both"/>
            </w:pPr>
            <w:r>
              <w:t>відходи упаковки;</w:t>
            </w:r>
          </w:p>
          <w:p w14:paraId="15538694">
            <w:pPr>
              <w:keepLines w:val="0"/>
              <w:pageBreakBefore w:val="0"/>
              <w:kinsoku/>
              <w:wordWrap/>
              <w:topLinePunct w:val="0"/>
              <w:bidi w:val="0"/>
              <w:snapToGrid/>
              <w:spacing w:beforeAutospacing="0" w:afterAutospacing="0" w:line="228" w:lineRule="auto"/>
              <w:ind w:left="0" w:right="0" w:firstLine="567"/>
              <w:jc w:val="both"/>
            </w:pPr>
            <w:r>
              <w:t>відходи електричного та електронного обладнання;</w:t>
            </w:r>
          </w:p>
          <w:p w14:paraId="01B0D6D7">
            <w:pPr>
              <w:keepLines w:val="0"/>
              <w:pageBreakBefore w:val="0"/>
              <w:kinsoku/>
              <w:wordWrap/>
              <w:topLinePunct w:val="0"/>
              <w:bidi w:val="0"/>
              <w:snapToGrid/>
              <w:spacing w:beforeAutospacing="0" w:afterAutospacing="0" w:line="228" w:lineRule="auto"/>
              <w:ind w:left="0" w:right="0" w:firstLine="567"/>
              <w:jc w:val="both"/>
            </w:pPr>
            <w:r>
              <w:t>відходи батарей і акумуляторів;</w:t>
            </w:r>
          </w:p>
          <w:p w14:paraId="53424993">
            <w:pPr>
              <w:keepLines w:val="0"/>
              <w:pageBreakBefore w:val="0"/>
              <w:kinsoku/>
              <w:wordWrap/>
              <w:topLinePunct w:val="0"/>
              <w:bidi w:val="0"/>
              <w:snapToGrid/>
              <w:spacing w:beforeAutospacing="0" w:afterAutospacing="0" w:line="228" w:lineRule="auto"/>
              <w:ind w:left="0" w:right="0" w:firstLine="567"/>
              <w:jc w:val="both"/>
            </w:pPr>
            <w:r>
              <w:t>медичні відходи;</w:t>
            </w:r>
          </w:p>
          <w:p w14:paraId="36AC5A95">
            <w:pPr>
              <w:keepLines w:val="0"/>
              <w:pageBreakBefore w:val="0"/>
              <w:kinsoku/>
              <w:wordWrap/>
              <w:topLinePunct w:val="0"/>
              <w:bidi w:val="0"/>
              <w:snapToGrid/>
              <w:spacing w:beforeAutospacing="0" w:afterAutospacing="0" w:line="228" w:lineRule="auto"/>
              <w:ind w:left="0" w:right="0" w:firstLine="567"/>
              <w:jc w:val="both"/>
            </w:pPr>
            <w:r>
              <w:t>транспортні засоби, строк експлуатації яких закінчився;</w:t>
            </w:r>
          </w:p>
          <w:p w14:paraId="0B8CAE75">
            <w:pPr>
              <w:keepLines w:val="0"/>
              <w:pageBreakBefore w:val="0"/>
              <w:kinsoku/>
              <w:wordWrap/>
              <w:topLinePunct w:val="0"/>
              <w:bidi w:val="0"/>
              <w:snapToGrid/>
              <w:spacing w:beforeAutospacing="0" w:afterAutospacing="0" w:line="228" w:lineRule="auto"/>
              <w:ind w:left="0" w:right="0" w:firstLine="567"/>
              <w:jc w:val="both"/>
            </w:pPr>
            <w:r>
              <w:t>осади стічних вод від комунальних очисних споруд; відходи, що біологічно розкладаються.</w:t>
            </w:r>
          </w:p>
          <w:p w14:paraId="5A286018">
            <w:pPr>
              <w:keepLines w:val="0"/>
              <w:pageBreakBefore w:val="0"/>
              <w:shd w:val="clear" w:color="auto" w:fill="FFFFFF"/>
              <w:kinsoku/>
              <w:wordWrap/>
              <w:topLinePunct w:val="0"/>
              <w:bidi w:val="0"/>
              <w:snapToGrid/>
              <w:spacing w:beforeAutospacing="0" w:afterAutospacing="0"/>
              <w:ind w:left="0" w:right="0" w:firstLine="322"/>
              <w:jc w:val="both"/>
              <w:rPr>
                <w:lang w:eastAsia="uk-UA"/>
              </w:rPr>
            </w:pPr>
            <w:r>
              <w:rPr>
                <w:lang w:eastAsia="uk-UA"/>
              </w:rPr>
              <w:t xml:space="preserve">У розділі </w:t>
            </w:r>
            <w:r>
              <w:rPr>
                <w:b/>
                <w:lang w:eastAsia="uk-UA"/>
              </w:rPr>
              <w:t>«</w:t>
            </w:r>
            <w:r>
              <w:rPr>
                <w:b/>
                <w:bCs/>
                <w:lang w:eastAsia="uk-UA"/>
              </w:rPr>
              <w:t>Планування управлінням відходами територіальної громади</w:t>
            </w:r>
            <w:r>
              <w:rPr>
                <w:b/>
                <w:lang w:eastAsia="uk-UA"/>
              </w:rPr>
              <w:t>»</w:t>
            </w:r>
            <w:r>
              <w:rPr>
                <w:lang w:eastAsia="uk-UA"/>
              </w:rPr>
              <w:t xml:space="preserve"> визначаються цілі та цільові показники місцевого плану, сценарії місцевого управління потоками відходів залежно від виду відходів, заходи з очищення наявних місць видалення відходів та обсяги витрат і можливі джерела фінансування, наводиться інформація про інструменти забезпечення реалізації плану, фінансово-економічне забезпечення управління відходами в населених пунктах територіальної</w:t>
            </w:r>
            <w:r>
              <w:rPr>
                <w:b/>
                <w:lang w:eastAsia="uk-UA"/>
              </w:rPr>
              <w:t xml:space="preserve"> </w:t>
            </w:r>
            <w:r>
              <w:rPr>
                <w:lang w:eastAsia="uk-UA"/>
              </w:rPr>
              <w:t>громади.</w:t>
            </w:r>
          </w:p>
          <w:p w14:paraId="23211F05">
            <w:pPr>
              <w:keepLines w:val="0"/>
              <w:pageBreakBefore w:val="0"/>
              <w:shd w:val="clear" w:color="auto" w:fill="FFFFFF"/>
              <w:kinsoku/>
              <w:wordWrap/>
              <w:topLinePunct w:val="0"/>
              <w:bidi w:val="0"/>
              <w:snapToGrid/>
              <w:spacing w:beforeAutospacing="0" w:afterAutospacing="0"/>
              <w:ind w:left="0" w:right="0" w:firstLine="322"/>
              <w:jc w:val="both"/>
              <w:rPr>
                <w:lang w:eastAsia="uk-UA"/>
              </w:rPr>
            </w:pPr>
            <w:r>
              <w:rPr>
                <w:lang w:eastAsia="uk-UA"/>
              </w:rPr>
              <w:t>Цілі місцевого плану та його цільові показники визначаються на основі аналізу поточного стану системи управління відходами, а також з урахуванням Національного і Регіонального планів управління відходами.</w:t>
            </w:r>
          </w:p>
          <w:p w14:paraId="69256023">
            <w:pPr>
              <w:keepLines w:val="0"/>
              <w:pageBreakBefore w:val="0"/>
              <w:shd w:val="clear" w:color="auto" w:fill="FFFFFF"/>
              <w:kinsoku/>
              <w:wordWrap/>
              <w:topLinePunct w:val="0"/>
              <w:bidi w:val="0"/>
              <w:snapToGrid/>
              <w:spacing w:beforeAutospacing="0" w:afterAutospacing="0"/>
              <w:ind w:left="0" w:right="0" w:firstLine="322"/>
              <w:jc w:val="both"/>
              <w:rPr>
                <w:lang w:eastAsia="uk-UA"/>
              </w:rPr>
            </w:pPr>
            <w:r>
              <w:rPr>
                <w:lang w:eastAsia="uk-UA"/>
              </w:rPr>
              <w:t>Цільові показники, встановлені регіональними планами управління відходами, є обов’язковими для перенесення до місцевого плану і можуть бути скориговані лише на підставі обґрунтування, наведеного в місцевому плані.</w:t>
            </w:r>
          </w:p>
          <w:p w14:paraId="5B1B3CBD">
            <w:pPr>
              <w:keepLines w:val="0"/>
              <w:pageBreakBefore w:val="0"/>
              <w:shd w:val="clear" w:color="auto" w:fill="FFFFFF"/>
              <w:kinsoku/>
              <w:wordWrap/>
              <w:topLinePunct w:val="0"/>
              <w:bidi w:val="0"/>
              <w:snapToGrid/>
              <w:spacing w:beforeAutospacing="0" w:afterAutospacing="0"/>
              <w:ind w:left="0" w:right="0" w:firstLine="322"/>
              <w:jc w:val="both"/>
              <w:rPr>
                <w:lang w:eastAsia="uk-UA"/>
              </w:rPr>
            </w:pPr>
            <w:r>
              <w:rPr>
                <w:lang w:eastAsia="uk-UA"/>
              </w:rPr>
              <w:t>Під час визначення цільових показників місцевим планом управління відходами застосовується принцип локалізації цільових показників та планів вищого рівня, тобто перенесення їх значень на рівень територіальної громади за часовими періодами, що збігаються із встановленими Національним планом управління відходами.</w:t>
            </w:r>
          </w:p>
          <w:p w14:paraId="65C925BD">
            <w:pPr>
              <w:keepLines w:val="0"/>
              <w:pageBreakBefore w:val="0"/>
              <w:shd w:val="clear" w:color="auto" w:fill="FFFFFF"/>
              <w:kinsoku/>
              <w:wordWrap/>
              <w:topLinePunct w:val="0"/>
              <w:bidi w:val="0"/>
              <w:snapToGrid/>
              <w:spacing w:beforeAutospacing="0" w:afterAutospacing="0"/>
              <w:ind w:left="0" w:right="0" w:firstLine="322"/>
              <w:jc w:val="both"/>
              <w:rPr>
                <w:lang w:eastAsia="uk-UA"/>
              </w:rPr>
            </w:pPr>
            <w:r>
              <w:rPr>
                <w:lang w:eastAsia="uk-UA"/>
              </w:rPr>
              <w:t>При описі фінансово-економічного забезпечення системи управління відходами в територіальній громаді наводиться короткий опис та аналіз фінансування програм та заходів у сфері управління відходами із зазначенням джерел фінансування, стану фінансування діючих програм, заходів, що стосуються управління відходами за останні п’ять років, запланованих обсягів фінансування програм на період до закінчення строку їх виконання.</w:t>
            </w:r>
          </w:p>
          <w:p w14:paraId="06898B82">
            <w:pPr>
              <w:keepLines w:val="0"/>
              <w:pageBreakBefore w:val="0"/>
              <w:shd w:val="clear" w:color="auto" w:fill="FFFFFF"/>
              <w:kinsoku/>
              <w:wordWrap/>
              <w:topLinePunct w:val="0"/>
              <w:bidi w:val="0"/>
              <w:snapToGrid/>
              <w:spacing w:beforeAutospacing="0" w:afterAutospacing="0"/>
              <w:ind w:left="0" w:right="0" w:firstLine="322"/>
              <w:jc w:val="both"/>
              <w:rPr>
                <w:lang w:eastAsia="uk-UA"/>
              </w:rPr>
            </w:pPr>
            <w:r>
              <w:rPr>
                <w:lang w:eastAsia="uk-UA"/>
              </w:rPr>
              <w:t xml:space="preserve">У розділі </w:t>
            </w:r>
            <w:r>
              <w:rPr>
                <w:b/>
                <w:lang w:eastAsia="uk-UA"/>
              </w:rPr>
              <w:t>«Моніторинг та оцінка ефективності виконання місцевого плану»</w:t>
            </w:r>
            <w:r>
              <w:rPr>
                <w:lang w:eastAsia="uk-UA"/>
              </w:rPr>
              <w:t xml:space="preserve"> зазначається інформація про створення/удосконалення та підтримання системи моніторингу місцевого плану та строки здійснення оцінки ефективності його виконання.</w:t>
            </w:r>
          </w:p>
          <w:p w14:paraId="725A374A">
            <w:pPr>
              <w:keepLines w:val="0"/>
              <w:pageBreakBefore w:val="0"/>
              <w:shd w:val="clear" w:color="auto" w:fill="FFFFFF"/>
              <w:kinsoku/>
              <w:wordWrap/>
              <w:topLinePunct w:val="0"/>
              <w:bidi w:val="0"/>
              <w:snapToGrid/>
              <w:spacing w:beforeAutospacing="0" w:afterAutospacing="0"/>
              <w:ind w:left="0" w:right="0" w:firstLine="322"/>
              <w:jc w:val="both"/>
              <w:rPr>
                <w:lang w:eastAsia="uk-UA"/>
              </w:rPr>
            </w:pPr>
            <w:r>
              <w:rPr>
                <w:lang w:eastAsia="uk-UA"/>
              </w:rPr>
              <w:t xml:space="preserve">У розділі </w:t>
            </w:r>
            <w:r>
              <w:rPr>
                <w:b/>
                <w:lang w:eastAsia="uk-UA"/>
              </w:rPr>
              <w:t>«Інформація про стратегічну екологічну оцінку»</w:t>
            </w:r>
            <w:r>
              <w:rPr>
                <w:lang w:eastAsia="uk-UA"/>
              </w:rPr>
              <w:t xml:space="preserve"> наводиться інформація про здійснену стратегічну екологічну оцінку відповідно до вимог </w:t>
            </w:r>
            <w:r>
              <w:fldChar w:fldCharType="begin"/>
            </w:r>
            <w:r>
              <w:instrText xml:space="preserve"> HYPERLINK "https://zakon.rada.gov.ua/laws/show/2354-19" \t "_blank" </w:instrText>
            </w:r>
            <w:r>
              <w:fldChar w:fldCharType="separate"/>
            </w:r>
            <w:r>
              <w:rPr>
                <w:color w:val="0000FF"/>
                <w:u w:val="single"/>
                <w:lang w:eastAsia="uk-UA"/>
              </w:rPr>
              <w:t>Закону України</w:t>
            </w:r>
            <w:r>
              <w:rPr>
                <w:color w:val="0000FF"/>
                <w:u w:val="single"/>
                <w:lang w:eastAsia="uk-UA"/>
              </w:rPr>
              <w:fldChar w:fldCharType="end"/>
            </w:r>
            <w:r>
              <w:rPr>
                <w:lang w:eastAsia="uk-UA"/>
              </w:rPr>
              <w:t> «Про стратегічну екологічну оцінку» з урахуванням звіту про стратегічну екологічну оцінку, результатів громадського обговорення та консультацій.</w:t>
            </w:r>
          </w:p>
          <w:p w14:paraId="265EAE6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left="0" w:right="0" w:firstLine="323"/>
              <w:jc w:val="both"/>
              <w:textAlignment w:val="auto"/>
              <w:rPr>
                <w:lang w:eastAsia="uk-UA"/>
              </w:rPr>
            </w:pPr>
            <w:r>
              <w:rPr>
                <w:lang w:eastAsia="uk-UA"/>
              </w:rPr>
              <w:t xml:space="preserve">У розділі </w:t>
            </w:r>
            <w:r>
              <w:rPr>
                <w:b/>
                <w:lang w:eastAsia="uk-UA"/>
              </w:rPr>
              <w:t>«Інформаційні джерела»</w:t>
            </w:r>
            <w:r>
              <w:rPr>
                <w:lang w:eastAsia="uk-UA"/>
              </w:rPr>
              <w:t xml:space="preserve"> наводиться список використаних джерел під час розроблення місцевого плану управління відходами.</w:t>
            </w:r>
          </w:p>
          <w:p w14:paraId="6865B17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left="0" w:right="0" w:firstLine="323"/>
              <w:textAlignment w:val="auto"/>
              <w:rPr>
                <w:lang w:eastAsia="uk-UA"/>
              </w:rPr>
            </w:pPr>
            <w:r>
              <w:rPr>
                <w:lang w:eastAsia="uk-UA"/>
              </w:rPr>
              <w:t xml:space="preserve">У розділі </w:t>
            </w:r>
            <w:r>
              <w:rPr>
                <w:b/>
                <w:lang w:eastAsia="uk-UA"/>
              </w:rPr>
              <w:t>«Додатки»</w:t>
            </w:r>
            <w:r>
              <w:rPr>
                <w:lang w:eastAsia="uk-UA"/>
              </w:rPr>
              <w:t xml:space="preserve"> місцевий план доповнюється необхідними додатками у вигляді таблиць та графічних матеріалів, що деталізують дані інших розділів.</w:t>
            </w:r>
          </w:p>
        </w:tc>
      </w:tr>
      <w:tr w14:paraId="72C5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14:paraId="7F1FD615">
            <w:pPr>
              <w:keepLines w:val="0"/>
              <w:pageBreakBefore w:val="0"/>
              <w:kinsoku/>
              <w:wordWrap/>
              <w:topLinePunct w:val="0"/>
              <w:bidi w:val="0"/>
              <w:snapToGrid/>
              <w:spacing w:beforeAutospacing="0" w:afterAutospacing="0"/>
              <w:ind w:left="0" w:right="0"/>
              <w:jc w:val="center"/>
            </w:pPr>
            <w:r>
              <w:t>6</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193FE337">
            <w:pPr>
              <w:keepLines w:val="0"/>
              <w:pageBreakBefore w:val="0"/>
              <w:kinsoku/>
              <w:wordWrap/>
              <w:topLinePunct w:val="0"/>
              <w:bidi w:val="0"/>
              <w:snapToGrid/>
              <w:spacing w:beforeAutospacing="0" w:afterAutospacing="0"/>
              <w:ind w:left="0" w:right="0"/>
              <w:rPr>
                <w:b/>
              </w:rPr>
            </w:pPr>
            <w:r>
              <w:rPr>
                <w:b/>
              </w:rPr>
              <w:t xml:space="preserve">Здійснення стратегічної екологічної оцінки </w:t>
            </w:r>
          </w:p>
        </w:tc>
        <w:tc>
          <w:tcPr>
            <w:tcW w:w="8264" w:type="dxa"/>
            <w:tcBorders>
              <w:top w:val="single" w:color="auto" w:sz="4" w:space="0"/>
              <w:left w:val="single" w:color="auto" w:sz="4" w:space="0"/>
              <w:bottom w:val="single" w:color="auto" w:sz="4" w:space="0"/>
              <w:right w:val="single" w:color="auto" w:sz="4" w:space="0"/>
            </w:tcBorders>
            <w:noWrap w:val="0"/>
            <w:vAlign w:val="top"/>
          </w:tcPr>
          <w:p w14:paraId="46799F44">
            <w:pPr>
              <w:keepLines w:val="0"/>
              <w:pageBreakBefore w:val="0"/>
              <w:shd w:val="clear" w:color="auto" w:fill="FFFFFF"/>
              <w:kinsoku/>
              <w:wordWrap/>
              <w:topLinePunct w:val="0"/>
              <w:bidi w:val="0"/>
              <w:snapToGrid/>
              <w:spacing w:beforeAutospacing="0" w:afterAutospacing="0"/>
              <w:ind w:left="0" w:right="0" w:firstLine="322"/>
              <w:jc w:val="both"/>
              <w:rPr>
                <w:lang w:eastAsia="uk-UA"/>
              </w:rPr>
            </w:pPr>
            <w:r>
              <w:rPr>
                <w:lang w:eastAsia="uk-UA"/>
              </w:rPr>
              <w:t>Проходження стратегічної екологічної оцінки та внесення коригувань з урахуванням наданих рекомендацій до проєкту Місцевого плану управління відходами</w:t>
            </w:r>
            <w:r>
              <w:rPr>
                <w:rFonts w:eastAsia="Arial"/>
                <w:b/>
                <w:bCs/>
                <w:iCs/>
                <w:color w:val="000000"/>
                <w:spacing w:val="-3"/>
                <w:lang w:eastAsia="zh-CN"/>
              </w:rPr>
              <w:t xml:space="preserve"> </w:t>
            </w:r>
            <w:r>
              <w:rPr>
                <w:rFonts w:hint="default"/>
                <w:b w:val="0"/>
                <w:bCs w:val="0"/>
                <w:color w:val="000000"/>
                <w:sz w:val="24"/>
                <w:szCs w:val="24"/>
                <w:lang w:val="uk-UA"/>
              </w:rPr>
              <w:t>Саксаганської тереторіалної громади Кам’янського району Дніпропетровської області</w:t>
            </w:r>
            <w:r>
              <w:rPr>
                <w:lang w:eastAsia="uk-UA"/>
              </w:rPr>
              <w:t xml:space="preserve">. Надання фінальної версії Місцевого плану, де фінальною вважатиметься та, яка узгоджена із Замовником та громадою. </w:t>
            </w:r>
          </w:p>
        </w:tc>
      </w:tr>
      <w:tr w14:paraId="03CD7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14:paraId="72F0C960">
            <w:pPr>
              <w:keepLines w:val="0"/>
              <w:pageBreakBefore w:val="0"/>
              <w:kinsoku/>
              <w:wordWrap/>
              <w:topLinePunct w:val="0"/>
              <w:bidi w:val="0"/>
              <w:snapToGrid/>
              <w:spacing w:beforeAutospacing="0" w:afterAutospacing="0"/>
              <w:ind w:left="0" w:right="0"/>
              <w:jc w:val="center"/>
            </w:pPr>
            <w:r>
              <w:t>7</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1C7B27F9">
            <w:pPr>
              <w:keepLines w:val="0"/>
              <w:pageBreakBefore w:val="0"/>
              <w:kinsoku/>
              <w:wordWrap/>
              <w:topLinePunct w:val="0"/>
              <w:bidi w:val="0"/>
              <w:snapToGrid/>
              <w:spacing w:beforeAutospacing="0" w:afterAutospacing="0"/>
              <w:ind w:left="0" w:right="0"/>
              <w:rPr>
                <w:b/>
              </w:rPr>
            </w:pPr>
            <w:r>
              <w:rPr>
                <w:b/>
              </w:rPr>
              <w:t>Оформлення результатів</w:t>
            </w:r>
          </w:p>
        </w:tc>
        <w:tc>
          <w:tcPr>
            <w:tcW w:w="8264" w:type="dxa"/>
            <w:tcBorders>
              <w:top w:val="single" w:color="auto" w:sz="4" w:space="0"/>
              <w:left w:val="single" w:color="auto" w:sz="4" w:space="0"/>
              <w:bottom w:val="single" w:color="auto" w:sz="4" w:space="0"/>
              <w:right w:val="single" w:color="auto" w:sz="4" w:space="0"/>
            </w:tcBorders>
            <w:noWrap w:val="0"/>
            <w:vAlign w:val="top"/>
          </w:tcPr>
          <w:p w14:paraId="716F3ED4">
            <w:pPr>
              <w:keepLines w:val="0"/>
              <w:pageBreakBefore w:val="0"/>
              <w:kinsoku/>
              <w:wordWrap/>
              <w:topLinePunct w:val="0"/>
              <w:bidi w:val="0"/>
              <w:snapToGrid/>
              <w:spacing w:beforeAutospacing="0" w:afterAutospacing="0"/>
              <w:ind w:left="0" w:right="0" w:firstLine="72"/>
              <w:jc w:val="both"/>
            </w:pPr>
            <w:r>
              <w:t>Місцевий план управління відходами, разом з візуалізацією (презентація у PowerPoint, графічними матеріалами) в повному обсязі у паперовому вигляді в 4-х примірниках та на електронних носіях (у форматі Microsoft Word та Adobe Acrobat Reader) передається Замовнику.</w:t>
            </w:r>
          </w:p>
          <w:p w14:paraId="5565DDCE">
            <w:pPr>
              <w:keepLines w:val="0"/>
              <w:pageBreakBefore w:val="0"/>
              <w:kinsoku/>
              <w:wordWrap/>
              <w:topLinePunct w:val="0"/>
              <w:bidi w:val="0"/>
              <w:snapToGrid/>
              <w:spacing w:beforeAutospacing="0" w:afterAutospacing="0"/>
              <w:ind w:left="0" w:right="0" w:firstLine="72"/>
              <w:jc w:val="both"/>
            </w:pPr>
            <w:r>
              <w:t xml:space="preserve">Його зміст і структура повинна відповідати вимогам чинних    нормативних документів. </w:t>
            </w:r>
          </w:p>
        </w:tc>
      </w:tr>
      <w:tr w14:paraId="49C7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14:paraId="2DDA77A6">
            <w:pPr>
              <w:keepLines w:val="0"/>
              <w:pageBreakBefore w:val="0"/>
              <w:kinsoku/>
              <w:wordWrap/>
              <w:topLinePunct w:val="0"/>
              <w:bidi w:val="0"/>
              <w:snapToGrid/>
              <w:spacing w:beforeAutospacing="0" w:afterAutospacing="0"/>
              <w:ind w:left="0" w:right="0"/>
              <w:jc w:val="center"/>
            </w:pPr>
            <w:r>
              <w:t>8</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567CC419">
            <w:pPr>
              <w:keepLines w:val="0"/>
              <w:pageBreakBefore w:val="0"/>
              <w:kinsoku/>
              <w:wordWrap/>
              <w:topLinePunct w:val="0"/>
              <w:bidi w:val="0"/>
              <w:snapToGrid/>
              <w:spacing w:beforeAutospacing="0" w:afterAutospacing="0"/>
              <w:ind w:left="0" w:right="0"/>
              <w:rPr>
                <w:b/>
              </w:rPr>
            </w:pPr>
            <w:r>
              <w:rPr>
                <w:b/>
              </w:rPr>
              <w:t>Погодження та затвердження</w:t>
            </w:r>
          </w:p>
        </w:tc>
        <w:tc>
          <w:tcPr>
            <w:tcW w:w="8264" w:type="dxa"/>
            <w:tcBorders>
              <w:top w:val="single" w:color="auto" w:sz="4" w:space="0"/>
              <w:left w:val="single" w:color="auto" w:sz="4" w:space="0"/>
              <w:bottom w:val="single" w:color="auto" w:sz="4" w:space="0"/>
              <w:right w:val="single" w:color="auto" w:sz="4" w:space="0"/>
            </w:tcBorders>
            <w:noWrap w:val="0"/>
            <w:vAlign w:val="top"/>
          </w:tcPr>
          <w:p w14:paraId="10A825FB">
            <w:pPr>
              <w:keepLines w:val="0"/>
              <w:pageBreakBefore w:val="0"/>
              <w:kinsoku/>
              <w:wordWrap/>
              <w:topLinePunct w:val="0"/>
              <w:bidi w:val="0"/>
              <w:snapToGrid/>
              <w:spacing w:beforeAutospacing="0" w:afterAutospacing="0"/>
              <w:ind w:left="0" w:right="0"/>
              <w:jc w:val="both"/>
            </w:pPr>
            <w:r>
              <w:t>Проект МПУВ попередньо погоджується Робочою групою для підготовки пропозицій до проєкту Місцевого плану управління відходами.</w:t>
            </w:r>
          </w:p>
          <w:p w14:paraId="071D88B4">
            <w:pPr>
              <w:keepLines w:val="0"/>
              <w:pageBreakBefore w:val="0"/>
              <w:kinsoku/>
              <w:wordWrap/>
              <w:topLinePunct w:val="0"/>
              <w:bidi w:val="0"/>
              <w:snapToGrid/>
              <w:spacing w:beforeAutospacing="0" w:afterAutospacing="0" w:line="228" w:lineRule="auto"/>
              <w:ind w:left="0" w:right="0" w:firstLine="567"/>
              <w:jc w:val="both"/>
            </w:pPr>
            <w:r>
              <w:t>Погодження  Місцевого плану управління відходами</w:t>
            </w:r>
            <w:r>
              <w:rPr>
                <w:rFonts w:eastAsia="Arial"/>
                <w:b/>
                <w:bCs/>
                <w:iCs/>
                <w:color w:val="000000"/>
                <w:spacing w:val="-3"/>
                <w:lang w:eastAsia="zh-CN"/>
              </w:rPr>
              <w:t xml:space="preserve"> </w:t>
            </w:r>
            <w:r>
              <w:rPr>
                <w:rFonts w:hint="default"/>
                <w:b w:val="0"/>
                <w:bCs w:val="0"/>
                <w:color w:val="000000"/>
                <w:sz w:val="24"/>
                <w:szCs w:val="24"/>
                <w:lang w:val="uk-UA"/>
              </w:rPr>
              <w:t>Саксаганської тереторіалної громади Кам’янського району Дніпропетровської області</w:t>
            </w:r>
            <w:r>
              <w:rPr>
                <w:rFonts w:eastAsia="Arial"/>
                <w:bCs/>
                <w:iCs/>
                <w:color w:val="000000"/>
                <w:spacing w:val="-3"/>
                <w:lang w:eastAsia="zh-CN"/>
              </w:rPr>
              <w:t xml:space="preserve">  </w:t>
            </w:r>
            <w:r>
              <w:t>виконується відповідно до нормативно-правових актів України. Для погодження Місцевого плану Виконавець надає текстові матеріали проекту місцевого плану; пояснювальну записку до проекту місцевого плану, у якій наводиться короткий опис переліку поданих документів та зазначається інформація про розробника; звіт про стратегічну екологічну оцінку, довідки про громадське обговорення та консультації, у тому числі щодо транскордонних консультацій (у разі потреби), підготовлені відповідно до вимог Закону України “Про стратегічну екологічну оцінку”.</w:t>
            </w:r>
          </w:p>
          <w:p w14:paraId="5B233B7E">
            <w:pPr>
              <w:keepLines w:val="0"/>
              <w:pageBreakBefore w:val="0"/>
              <w:kinsoku/>
              <w:wordWrap/>
              <w:topLinePunct w:val="0"/>
              <w:bidi w:val="0"/>
              <w:snapToGrid/>
              <w:spacing w:beforeAutospacing="0" w:afterAutospacing="0"/>
              <w:ind w:left="0" w:right="0"/>
              <w:jc w:val="both"/>
            </w:pPr>
          </w:p>
        </w:tc>
      </w:tr>
      <w:tr w14:paraId="1404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14:paraId="6738242C">
            <w:pPr>
              <w:keepLines w:val="0"/>
              <w:pageBreakBefore w:val="0"/>
              <w:kinsoku/>
              <w:wordWrap/>
              <w:topLinePunct w:val="0"/>
              <w:bidi w:val="0"/>
              <w:snapToGrid/>
              <w:spacing w:beforeAutospacing="0" w:afterAutospacing="0"/>
              <w:ind w:left="0" w:right="0"/>
              <w:jc w:val="center"/>
              <w:rPr>
                <w:lang w:val="uk-UA"/>
              </w:rPr>
            </w:pPr>
            <w:r>
              <w:rPr>
                <w:lang w:val="uk-UA"/>
              </w:rPr>
              <w:t>9</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861222B">
            <w:pPr>
              <w:keepLines w:val="0"/>
              <w:pageBreakBefore w:val="0"/>
              <w:kinsoku/>
              <w:wordWrap/>
              <w:topLinePunct w:val="0"/>
              <w:bidi w:val="0"/>
              <w:snapToGrid/>
              <w:spacing w:beforeAutospacing="0" w:afterAutospacing="0"/>
              <w:ind w:left="0" w:right="0"/>
              <w:rPr>
                <w:b/>
                <w:lang w:val="uk-UA"/>
              </w:rPr>
            </w:pPr>
            <w:r>
              <w:rPr>
                <w:b/>
                <w:lang w:val="uk-UA"/>
              </w:rPr>
              <w:t>Кількість послуг та строк їх надання</w:t>
            </w:r>
          </w:p>
        </w:tc>
        <w:tc>
          <w:tcPr>
            <w:tcW w:w="8264" w:type="dxa"/>
            <w:tcBorders>
              <w:top w:val="single" w:color="auto" w:sz="4" w:space="0"/>
              <w:left w:val="single" w:color="auto" w:sz="4" w:space="0"/>
              <w:bottom w:val="single" w:color="auto" w:sz="4" w:space="0"/>
              <w:right w:val="single" w:color="auto" w:sz="4" w:space="0"/>
            </w:tcBorders>
            <w:noWrap w:val="0"/>
            <w:vAlign w:val="top"/>
          </w:tcPr>
          <w:p w14:paraId="5DC6C2B3">
            <w:pPr>
              <w:keepLines w:val="0"/>
              <w:pageBreakBefore w:val="0"/>
              <w:kinsoku/>
              <w:wordWrap/>
              <w:topLinePunct w:val="0"/>
              <w:bidi w:val="0"/>
              <w:snapToGrid/>
              <w:spacing w:beforeAutospacing="0" w:afterAutospacing="0"/>
              <w:ind w:left="0" w:right="0"/>
              <w:jc w:val="both"/>
              <w:rPr>
                <w:lang w:val="uk-UA"/>
              </w:rPr>
            </w:pPr>
            <w:r>
              <w:rPr>
                <w:lang w:val="uk-UA"/>
              </w:rPr>
              <w:t>1 послуга</w:t>
            </w:r>
          </w:p>
          <w:p w14:paraId="5FF8C605">
            <w:pPr>
              <w:keepLines w:val="0"/>
              <w:pageBreakBefore w:val="0"/>
              <w:kinsoku/>
              <w:wordWrap/>
              <w:topLinePunct w:val="0"/>
              <w:bidi w:val="0"/>
              <w:snapToGrid/>
              <w:spacing w:beforeAutospacing="0" w:afterAutospacing="0"/>
              <w:ind w:left="0" w:right="0"/>
              <w:jc w:val="both"/>
              <w:rPr>
                <w:lang w:val="uk-UA"/>
              </w:rPr>
            </w:pPr>
            <w:r>
              <w:rPr>
                <w:lang w:val="uk-UA"/>
              </w:rPr>
              <w:t>До 01.12.2026 року</w:t>
            </w:r>
          </w:p>
        </w:tc>
      </w:tr>
      <w:tr w14:paraId="2584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14:paraId="04A67597">
            <w:pPr>
              <w:keepLines w:val="0"/>
              <w:pageBreakBefore w:val="0"/>
              <w:kinsoku/>
              <w:wordWrap/>
              <w:topLinePunct w:val="0"/>
              <w:bidi w:val="0"/>
              <w:snapToGrid/>
              <w:spacing w:beforeAutospacing="0" w:afterAutospacing="0"/>
              <w:ind w:left="0" w:right="0"/>
              <w:jc w:val="center"/>
              <w:rPr>
                <w:lang w:val="uk-UA"/>
              </w:rPr>
            </w:pPr>
            <w:r>
              <w:rPr>
                <w:lang w:val="uk-UA"/>
              </w:rPr>
              <w:t>10</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6172150A">
            <w:pPr>
              <w:keepLines w:val="0"/>
              <w:pageBreakBefore w:val="0"/>
              <w:kinsoku/>
              <w:wordWrap/>
              <w:topLinePunct w:val="0"/>
              <w:bidi w:val="0"/>
              <w:snapToGrid/>
              <w:spacing w:beforeAutospacing="0" w:afterAutospacing="0"/>
              <w:ind w:left="0" w:right="0"/>
              <w:rPr>
                <w:b/>
                <w:lang w:val="uk-UA"/>
              </w:rPr>
            </w:pPr>
            <w:r>
              <w:rPr>
                <w:b/>
                <w:lang w:val="uk-UA"/>
              </w:rPr>
              <w:t>Етапи та складові послуги</w:t>
            </w:r>
          </w:p>
        </w:tc>
        <w:tc>
          <w:tcPr>
            <w:tcW w:w="8264" w:type="dxa"/>
            <w:tcBorders>
              <w:top w:val="single" w:color="auto" w:sz="4" w:space="0"/>
              <w:left w:val="single" w:color="auto" w:sz="4" w:space="0"/>
              <w:bottom w:val="single" w:color="auto" w:sz="4" w:space="0"/>
              <w:right w:val="single" w:color="auto" w:sz="4" w:space="0"/>
            </w:tcBorders>
            <w:noWrap w:val="0"/>
            <w:vAlign w:val="top"/>
          </w:tcPr>
          <w:p w14:paraId="7A78C81F">
            <w:pPr>
              <w:keepLines w:val="0"/>
              <w:pageBreakBefore w:val="0"/>
              <w:kinsoku/>
              <w:wordWrap/>
              <w:topLinePunct w:val="0"/>
              <w:bidi w:val="0"/>
              <w:snapToGrid/>
              <w:spacing w:beforeAutospacing="0" w:afterAutospacing="0"/>
              <w:ind w:left="0" w:right="0"/>
              <w:jc w:val="both"/>
              <w:rPr>
                <w:lang w:val="uk-UA"/>
              </w:rPr>
            </w:pPr>
            <w:r>
              <w:rPr>
                <w:lang w:val="uk-UA"/>
              </w:rPr>
              <w:t xml:space="preserve">Розроблення місцевого плану управління відходами </w:t>
            </w:r>
            <w:r>
              <w:rPr>
                <w:rFonts w:hint="default"/>
                <w:b w:val="0"/>
                <w:bCs w:val="0"/>
                <w:color w:val="000000"/>
                <w:sz w:val="24"/>
                <w:szCs w:val="24"/>
                <w:lang w:val="uk-UA"/>
              </w:rPr>
              <w:t>Саксаганської тереторіалної громади Кам’янського району Дніпропетровської області</w:t>
            </w:r>
            <w:r>
              <w:rPr>
                <w:lang w:val="uk-UA"/>
              </w:rPr>
              <w:t>;</w:t>
            </w:r>
          </w:p>
          <w:p w14:paraId="0620C9C3">
            <w:pPr>
              <w:keepLines w:val="0"/>
              <w:pageBreakBefore w:val="0"/>
              <w:kinsoku/>
              <w:wordWrap/>
              <w:topLinePunct w:val="0"/>
              <w:bidi w:val="0"/>
              <w:snapToGrid/>
              <w:spacing w:beforeAutospacing="0" w:afterAutospacing="0"/>
              <w:ind w:left="0" w:right="0"/>
              <w:jc w:val="both"/>
              <w:rPr>
                <w:lang w:val="uk-UA"/>
              </w:rPr>
            </w:pPr>
            <w:r>
              <w:rPr>
                <w:lang w:val="uk-UA"/>
              </w:rPr>
              <w:t>Розробка звіту про стратегічну екологічну оцінку та методичний супровід на всіх етапах процедури стратегічної екологічної оцінки;</w:t>
            </w:r>
          </w:p>
          <w:p w14:paraId="5499B7EC">
            <w:pPr>
              <w:keepLines w:val="0"/>
              <w:pageBreakBefore w:val="0"/>
              <w:kinsoku/>
              <w:wordWrap/>
              <w:topLinePunct w:val="0"/>
              <w:bidi w:val="0"/>
              <w:snapToGrid/>
              <w:spacing w:beforeAutospacing="0" w:afterAutospacing="0"/>
              <w:ind w:left="0" w:right="0"/>
              <w:jc w:val="both"/>
              <w:rPr>
                <w:lang w:val="uk-UA"/>
              </w:rPr>
            </w:pPr>
            <w:r>
              <w:rPr>
                <w:lang w:val="uk-UA"/>
              </w:rPr>
              <w:t xml:space="preserve">Методичний супровід процедури затвердження та погодження місцевого плану управління відходами </w:t>
            </w:r>
            <w:r>
              <w:rPr>
                <w:rFonts w:hint="default"/>
                <w:b w:val="0"/>
                <w:bCs w:val="0"/>
                <w:color w:val="000000"/>
                <w:sz w:val="24"/>
                <w:szCs w:val="24"/>
                <w:lang w:val="uk-UA"/>
              </w:rPr>
              <w:t>Саксаганської тереторіалної громади Кам’янського району Дніпропетровської області</w:t>
            </w:r>
            <w:r>
              <w:rPr>
                <w:lang w:val="uk-UA"/>
              </w:rPr>
              <w:t>;</w:t>
            </w:r>
          </w:p>
        </w:tc>
      </w:tr>
    </w:tbl>
    <w:p w14:paraId="173BF54D">
      <w:pPr>
        <w:keepNext w:val="0"/>
        <w:keepLines w:val="0"/>
        <w:pageBreakBefore w:val="0"/>
        <w:widowControl/>
        <w:suppressLineNumbers w:val="0"/>
        <w:pBdr>
          <w:bottom w:val="none" w:color="0A0A0A" w:sz="0" w:space="0"/>
        </w:pBdr>
        <w:kinsoku/>
        <w:wordWrap/>
        <w:overflowPunct/>
        <w:topLinePunct w:val="0"/>
        <w:autoSpaceDE/>
        <w:autoSpaceDN/>
        <w:bidi w:val="0"/>
        <w:adjustRightInd/>
        <w:snapToGrid/>
        <w:spacing w:before="0" w:beforeAutospacing="0" w:afterAutospacing="0"/>
        <w:ind w:left="0" w:right="0"/>
        <w:textAlignment w:val="auto"/>
        <w:rPr>
          <w:rFonts w:hint="default" w:ascii="Times New Roman" w:hAnsi="Times New Roman" w:eastAsia="Arial" w:cs="Times New Roman"/>
          <w:sz w:val="24"/>
          <w:szCs w:val="24"/>
          <w:u w:val="none"/>
        </w:rPr>
      </w:pPr>
    </w:p>
    <w:p w14:paraId="33CD303C">
      <w:pPr>
        <w:jc w:val="both"/>
        <w:rPr>
          <w:sz w:val="23"/>
          <w:szCs w:val="23"/>
          <w:lang w:val="uk-UA"/>
        </w:rPr>
      </w:pPr>
      <w:r>
        <w:rPr>
          <w:sz w:val="23"/>
          <w:szCs w:val="23"/>
          <w:lang w:val="uk-UA"/>
        </w:rPr>
        <w:t>1</w:t>
      </w:r>
      <w:r>
        <w:rPr>
          <w:rFonts w:hint="default"/>
          <w:sz w:val="23"/>
          <w:szCs w:val="23"/>
          <w:lang w:val="uk-UA"/>
        </w:rPr>
        <w:t>1</w:t>
      </w:r>
      <w:r>
        <w:rPr>
          <w:sz w:val="23"/>
          <w:szCs w:val="23"/>
          <w:lang w:val="uk-UA"/>
        </w:rPr>
        <w:t xml:space="preserve">. Очікувана вартість предмета закупівлі: </w:t>
      </w:r>
      <w:r>
        <w:rPr>
          <w:rFonts w:hint="default"/>
          <w:b/>
          <w:bCs/>
          <w:sz w:val="23"/>
          <w:szCs w:val="23"/>
          <w:lang w:val="uk-UA"/>
        </w:rPr>
        <w:t>1</w:t>
      </w:r>
      <w:r>
        <w:rPr>
          <w:rFonts w:hint="default"/>
          <w:b/>
          <w:bCs/>
          <w:sz w:val="23"/>
          <w:szCs w:val="23"/>
          <w:lang w:val="en-US"/>
        </w:rPr>
        <w:t>4</w:t>
      </w:r>
      <w:r>
        <w:rPr>
          <w:rFonts w:hint="default"/>
          <w:b/>
          <w:bCs/>
          <w:sz w:val="23"/>
          <w:szCs w:val="23"/>
          <w:lang w:val="uk-UA"/>
        </w:rPr>
        <w:t>0000,00</w:t>
      </w:r>
      <w:r>
        <w:rPr>
          <w:b/>
          <w:bCs/>
          <w:sz w:val="23"/>
          <w:szCs w:val="23"/>
          <w:lang w:val="uk-UA"/>
        </w:rPr>
        <w:t xml:space="preserve"> грн. (Сто</w:t>
      </w:r>
      <w:r>
        <w:rPr>
          <w:rFonts w:hint="default"/>
          <w:b/>
          <w:bCs/>
          <w:sz w:val="23"/>
          <w:szCs w:val="23"/>
          <w:lang w:val="uk-UA"/>
        </w:rPr>
        <w:t xml:space="preserve"> сорок тисяч </w:t>
      </w:r>
      <w:r>
        <w:rPr>
          <w:b/>
          <w:bCs/>
          <w:sz w:val="23"/>
          <w:szCs w:val="23"/>
          <w:lang w:val="uk-UA"/>
        </w:rPr>
        <w:t xml:space="preserve">гривень </w:t>
      </w:r>
      <w:r>
        <w:rPr>
          <w:rFonts w:hint="default"/>
          <w:b/>
          <w:bCs/>
          <w:sz w:val="23"/>
          <w:szCs w:val="23"/>
          <w:lang w:val="uk-UA"/>
        </w:rPr>
        <w:t>00</w:t>
      </w:r>
      <w:r>
        <w:rPr>
          <w:b/>
          <w:bCs/>
          <w:sz w:val="23"/>
          <w:szCs w:val="23"/>
          <w:lang w:val="uk-UA"/>
        </w:rPr>
        <w:t xml:space="preserve"> копійок ) згідно з кошторисними призначеннями на 202</w:t>
      </w:r>
      <w:r>
        <w:rPr>
          <w:rFonts w:hint="default"/>
          <w:b/>
          <w:bCs/>
          <w:sz w:val="23"/>
          <w:szCs w:val="23"/>
          <w:lang w:val="uk-UA"/>
        </w:rPr>
        <w:t>6</w:t>
      </w:r>
      <w:r>
        <w:rPr>
          <w:b/>
          <w:bCs/>
          <w:sz w:val="23"/>
          <w:szCs w:val="23"/>
          <w:lang w:val="uk-UA"/>
        </w:rPr>
        <w:t xml:space="preserve"> рік.</w:t>
      </w:r>
    </w:p>
    <w:p w14:paraId="7ACECDBB">
      <w:pPr>
        <w:jc w:val="both"/>
        <w:rPr>
          <w:sz w:val="23"/>
          <w:szCs w:val="23"/>
          <w:lang w:val="uk-UA"/>
        </w:rPr>
      </w:pPr>
      <w:r>
        <w:rPr>
          <w:sz w:val="23"/>
          <w:szCs w:val="23"/>
          <w:lang w:val="uk-UA"/>
        </w:rPr>
        <w:t>13.  Обґрунтування очікуваної вартості предмета закупівлі:</w:t>
      </w:r>
    </w:p>
    <w:p w14:paraId="5113D449">
      <w:pPr>
        <w:ind w:left="0" w:leftChars="0" w:firstLine="0" w:firstLineChars="0"/>
        <w:jc w:val="both"/>
        <w:rPr>
          <w:rFonts w:hint="default" w:cs="Times New Roman"/>
          <w:b/>
          <w:bCs/>
          <w:szCs w:val="28"/>
          <w:highlight w:val="cyan"/>
          <w:lang w:val="uk-UA"/>
        </w:rPr>
      </w:pPr>
      <w:r>
        <w:rPr>
          <w:sz w:val="23"/>
          <w:szCs w:val="23"/>
        </w:rPr>
        <w:t xml:space="preserve">         </w:t>
      </w:r>
      <w:r>
        <w:rPr>
          <w:b/>
          <w:bCs/>
          <w:szCs w:val="28"/>
          <w:highlight w:val="cyan"/>
          <w:lang w:val="uk-UA"/>
        </w:rPr>
        <w:t>Рішення</w:t>
      </w:r>
      <w:r>
        <w:rPr>
          <w:rFonts w:hint="default"/>
          <w:b/>
          <w:bCs/>
          <w:szCs w:val="28"/>
          <w:highlight w:val="cyan"/>
          <w:lang w:val="uk-UA"/>
        </w:rPr>
        <w:t xml:space="preserve"> Саксагаської сільської ради від 18.12.2025 №3055-63/</w:t>
      </w:r>
      <w:r>
        <w:rPr>
          <w:rFonts w:hint="default"/>
          <w:b/>
          <w:bCs/>
          <w:szCs w:val="28"/>
          <w:highlight w:val="cyan"/>
          <w:lang w:val="en-US"/>
        </w:rPr>
        <w:t xml:space="preserve">VIII </w:t>
      </w:r>
      <w:r>
        <w:rPr>
          <w:rFonts w:hint="default"/>
          <w:b/>
          <w:bCs/>
          <w:szCs w:val="28"/>
          <w:highlight w:val="cyan"/>
          <w:lang w:val="uk-UA"/>
        </w:rPr>
        <w:t>“Про бюджет Саксаганської сільської територіальної громади” зі змінами від 31.03.2026 №3132-65/</w:t>
      </w:r>
      <w:r>
        <w:rPr>
          <w:rFonts w:hint="default"/>
          <w:b/>
          <w:bCs/>
          <w:szCs w:val="28"/>
          <w:highlight w:val="cyan"/>
          <w:lang w:val="en-US"/>
        </w:rPr>
        <w:t>VIII</w:t>
      </w:r>
      <w:r>
        <w:rPr>
          <w:rFonts w:hint="default"/>
          <w:b/>
          <w:bCs/>
          <w:szCs w:val="28"/>
          <w:highlight w:val="cyan"/>
          <w:lang w:val="uk-UA"/>
        </w:rPr>
        <w:t>.</w:t>
      </w:r>
      <w:r>
        <w:rPr>
          <w:rFonts w:hint="default"/>
          <w:b/>
          <w:bCs/>
          <w:szCs w:val="28"/>
          <w:highlight w:val="cyan"/>
          <w:lang w:val="en-US"/>
        </w:rPr>
        <w:t xml:space="preserve"> </w:t>
      </w:r>
    </w:p>
    <w:p w14:paraId="7712FABF">
      <w:pPr>
        <w:ind w:firstLine="708"/>
        <w:jc w:val="both"/>
        <w:rPr>
          <w:b w:val="0"/>
          <w:bCs/>
          <w:sz w:val="23"/>
          <w:szCs w:val="23"/>
          <w:lang w:val="uk-UA"/>
        </w:rPr>
      </w:pPr>
      <w:r>
        <w:rPr>
          <w:b w:val="0"/>
          <w:bCs/>
          <w:sz w:val="23"/>
          <w:szCs w:val="23"/>
          <w:lang w:val="uk-UA"/>
        </w:rPr>
        <w:t xml:space="preserve">14. Обґрунтування розміру бюджетного призначення: </w:t>
      </w:r>
    </w:p>
    <w:p w14:paraId="5DFF27D8">
      <w:pPr>
        <w:ind w:firstLine="708" w:firstLineChars="0"/>
        <w:jc w:val="both"/>
        <w:rPr>
          <w:rFonts w:hint="default"/>
          <w:b/>
          <w:bCs/>
          <w:lang w:val="uk-UA"/>
        </w:rPr>
      </w:pPr>
      <w:r>
        <w:rPr>
          <w:b/>
          <w:bCs/>
          <w:sz w:val="23"/>
          <w:szCs w:val="23"/>
          <w:lang w:val="uk-UA"/>
        </w:rPr>
        <w:t>Розмір бюджетного призначення визначений з урахуванням вимог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за рахунок коштів місцевого бюджету, та згідно прогнозних розрахунків на 202</w:t>
      </w:r>
      <w:r>
        <w:rPr>
          <w:rFonts w:hint="default"/>
          <w:b/>
          <w:bCs/>
          <w:sz w:val="23"/>
          <w:szCs w:val="23"/>
          <w:lang w:val="uk-UA"/>
        </w:rPr>
        <w:t>6</w:t>
      </w:r>
      <w:r>
        <w:rPr>
          <w:b/>
          <w:bCs/>
          <w:sz w:val="23"/>
          <w:szCs w:val="23"/>
          <w:lang w:val="uk-UA"/>
        </w:rPr>
        <w:t xml:space="preserve"> рік</w:t>
      </w:r>
      <w:r>
        <w:rPr>
          <w:rFonts w:hint="default"/>
          <w:b/>
          <w:bCs/>
          <w:sz w:val="23"/>
          <w:szCs w:val="23"/>
          <w:lang w:val="uk-UA"/>
        </w:rPr>
        <w:t xml:space="preserve">, Програми поводження з тердими побутовими відходами на тереторії Саксаганської територіальної ради на 2026-2028 роки.  </w:t>
      </w:r>
    </w:p>
    <w:p w14:paraId="6F41562D">
      <w:pPr>
        <w:jc w:val="both"/>
        <w:rPr>
          <w:lang w:val="uk-UA"/>
        </w:rPr>
      </w:pPr>
      <w:r>
        <w:rPr>
          <w:lang w:val="uk-UA"/>
        </w:rPr>
        <w:t xml:space="preserve"> </w:t>
      </w:r>
    </w:p>
    <w:p w14:paraId="6E6F5894">
      <w:pPr>
        <w:jc w:val="both"/>
        <w:rPr>
          <w:lang w:val="uk-UA"/>
        </w:rPr>
      </w:pPr>
    </w:p>
    <w:p w14:paraId="0F0169AE">
      <w:pPr>
        <w:jc w:val="center"/>
        <w:rPr>
          <w:lang w:val="uk-UA"/>
        </w:rPr>
      </w:pPr>
      <w:r>
        <w:rPr>
          <w:lang w:val="uk-UA"/>
        </w:rPr>
        <w:t>Уповноважена особа                                                              Лілія ПУХАЛЬСЬКА</w:t>
      </w:r>
    </w:p>
    <w:p w14:paraId="43E39C22">
      <w:pPr>
        <w:jc w:val="both"/>
        <w:rPr>
          <w:color w:val="000000"/>
          <w:shd w:val="clear" w:color="auto" w:fill="FFFFFF"/>
        </w:rPr>
      </w:pPr>
    </w:p>
    <w:p w14:paraId="72E1351E">
      <w:pPr>
        <w:jc w:val="both"/>
        <w:rPr>
          <w:color w:val="000000"/>
          <w:shd w:val="clear" w:color="auto" w:fill="FFFFFF"/>
          <w:lang w:val="uk-UA"/>
        </w:rPr>
      </w:pPr>
    </w:p>
    <w:p w14:paraId="119CA99F">
      <w:pPr>
        <w:jc w:val="both"/>
        <w:rPr>
          <w:lang w:val="uk-UA"/>
        </w:rPr>
      </w:pPr>
      <w:bookmarkStart w:id="0" w:name="_GoBack"/>
      <w:bookmarkEnd w:id="0"/>
    </w:p>
    <w:sectPr>
      <w:footerReference r:id="rId3" w:type="default"/>
      <w:footnotePr>
        <w:pos w:val="beneathText"/>
      </w:footnotePr>
      <w:pgSz w:w="11905" w:h="16837"/>
      <w:pgMar w:top="567" w:right="357" w:bottom="426" w:left="873"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5FD1C">
    <w:pPr>
      <w:pStyle w:val="4"/>
      <w:jc w:val="right"/>
    </w:pPr>
  </w:p>
  <w:p w14:paraId="0A737483">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9E6133"/>
    <w:multiLevelType w:val="multilevel"/>
    <w:tmpl w:val="0F9E613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5B551D7F"/>
    <w:multiLevelType w:val="multilevel"/>
    <w:tmpl w:val="5B551D7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78AE0EAB"/>
    <w:multiLevelType w:val="multilevel"/>
    <w:tmpl w:val="78AE0EAB"/>
    <w:lvl w:ilvl="0" w:tentative="0">
      <w:start w:val="12"/>
      <w:numFmt w:val="bullet"/>
      <w:lvlText w:val="-"/>
      <w:lvlJc w:val="left"/>
      <w:pPr>
        <w:ind w:left="720" w:hanging="360"/>
      </w:pPr>
      <w:rPr>
        <w:rFonts w:hint="default"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 w:numId="3">
    <w:abstractNumId w:val="2"/>
    <w:lvlOverride w:ilvl="0">
      <w:startOverride w:val="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708"/>
  <w:hyphenationZone w:val="425"/>
  <w:doNotHyphenateCaps/>
  <w:displayHorizontalDrawingGridEvery w:val="1"/>
  <w:displayVerticalDrawingGridEvery w:val="1"/>
  <w:noPunctuationKerning w:val="1"/>
  <w:characterSpacingControl w:val="doNotCompress"/>
  <w:doNotValidateAgainstSchema/>
  <w:doNotDemarcateInvalidXml/>
  <w:footnotePr>
    <w:pos w:val="beneathText"/>
  </w:foot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1FC"/>
    <w:rsid w:val="00035BE7"/>
    <w:rsid w:val="000417CC"/>
    <w:rsid w:val="00045A74"/>
    <w:rsid w:val="00075C5C"/>
    <w:rsid w:val="00077D97"/>
    <w:rsid w:val="00082DE7"/>
    <w:rsid w:val="00086315"/>
    <w:rsid w:val="00086AED"/>
    <w:rsid w:val="000B2926"/>
    <w:rsid w:val="000B3790"/>
    <w:rsid w:val="000B65FC"/>
    <w:rsid w:val="000C608A"/>
    <w:rsid w:val="000E3645"/>
    <w:rsid w:val="001232E1"/>
    <w:rsid w:val="0014133D"/>
    <w:rsid w:val="00157E99"/>
    <w:rsid w:val="00162D7F"/>
    <w:rsid w:val="00182540"/>
    <w:rsid w:val="00192DFC"/>
    <w:rsid w:val="001F2BB1"/>
    <w:rsid w:val="00217112"/>
    <w:rsid w:val="00232C6A"/>
    <w:rsid w:val="002473AC"/>
    <w:rsid w:val="00254D04"/>
    <w:rsid w:val="002647AC"/>
    <w:rsid w:val="002654C5"/>
    <w:rsid w:val="00290E00"/>
    <w:rsid w:val="00294F47"/>
    <w:rsid w:val="002B5ED4"/>
    <w:rsid w:val="002F2E36"/>
    <w:rsid w:val="00314087"/>
    <w:rsid w:val="003245F7"/>
    <w:rsid w:val="00334247"/>
    <w:rsid w:val="00334BFE"/>
    <w:rsid w:val="00335247"/>
    <w:rsid w:val="00340E2D"/>
    <w:rsid w:val="003507CD"/>
    <w:rsid w:val="00360CED"/>
    <w:rsid w:val="00371173"/>
    <w:rsid w:val="003A09DB"/>
    <w:rsid w:val="003A0B00"/>
    <w:rsid w:val="003A63BC"/>
    <w:rsid w:val="003B20A4"/>
    <w:rsid w:val="003B3B8D"/>
    <w:rsid w:val="003B43A4"/>
    <w:rsid w:val="003E596C"/>
    <w:rsid w:val="003F1588"/>
    <w:rsid w:val="003F3211"/>
    <w:rsid w:val="003F6914"/>
    <w:rsid w:val="00400B3B"/>
    <w:rsid w:val="00401AE2"/>
    <w:rsid w:val="004077C6"/>
    <w:rsid w:val="004257B5"/>
    <w:rsid w:val="004321E7"/>
    <w:rsid w:val="004325BA"/>
    <w:rsid w:val="004A35DB"/>
    <w:rsid w:val="004C640C"/>
    <w:rsid w:val="004C7EBE"/>
    <w:rsid w:val="004F532A"/>
    <w:rsid w:val="004F6892"/>
    <w:rsid w:val="0053253A"/>
    <w:rsid w:val="0054114F"/>
    <w:rsid w:val="00583612"/>
    <w:rsid w:val="005953FA"/>
    <w:rsid w:val="005A7B54"/>
    <w:rsid w:val="005B55FE"/>
    <w:rsid w:val="005C5AAA"/>
    <w:rsid w:val="005D15B0"/>
    <w:rsid w:val="005D3473"/>
    <w:rsid w:val="005D6613"/>
    <w:rsid w:val="005E6515"/>
    <w:rsid w:val="005E6904"/>
    <w:rsid w:val="005F731E"/>
    <w:rsid w:val="00601A97"/>
    <w:rsid w:val="0061581F"/>
    <w:rsid w:val="00623075"/>
    <w:rsid w:val="006241DD"/>
    <w:rsid w:val="006258A3"/>
    <w:rsid w:val="00630D99"/>
    <w:rsid w:val="0063688C"/>
    <w:rsid w:val="00652C59"/>
    <w:rsid w:val="00662B8C"/>
    <w:rsid w:val="006833EE"/>
    <w:rsid w:val="0068474F"/>
    <w:rsid w:val="00687CFC"/>
    <w:rsid w:val="00694417"/>
    <w:rsid w:val="006B7274"/>
    <w:rsid w:val="006B7865"/>
    <w:rsid w:val="006C7EA2"/>
    <w:rsid w:val="006D02DE"/>
    <w:rsid w:val="006D0F86"/>
    <w:rsid w:val="006E2570"/>
    <w:rsid w:val="006F1373"/>
    <w:rsid w:val="006F152C"/>
    <w:rsid w:val="00741CA3"/>
    <w:rsid w:val="00752700"/>
    <w:rsid w:val="00756E33"/>
    <w:rsid w:val="00777647"/>
    <w:rsid w:val="00786067"/>
    <w:rsid w:val="007A656E"/>
    <w:rsid w:val="007C6488"/>
    <w:rsid w:val="007C76AA"/>
    <w:rsid w:val="007E2639"/>
    <w:rsid w:val="007E44BC"/>
    <w:rsid w:val="007F155F"/>
    <w:rsid w:val="007F2BAE"/>
    <w:rsid w:val="00812CD7"/>
    <w:rsid w:val="00825978"/>
    <w:rsid w:val="0087633F"/>
    <w:rsid w:val="00883594"/>
    <w:rsid w:val="008B3063"/>
    <w:rsid w:val="008B66C1"/>
    <w:rsid w:val="008C032E"/>
    <w:rsid w:val="008C47BB"/>
    <w:rsid w:val="00900E6D"/>
    <w:rsid w:val="00901045"/>
    <w:rsid w:val="0090203C"/>
    <w:rsid w:val="00903B4C"/>
    <w:rsid w:val="00910A19"/>
    <w:rsid w:val="00936AEA"/>
    <w:rsid w:val="009661F9"/>
    <w:rsid w:val="00986410"/>
    <w:rsid w:val="00990116"/>
    <w:rsid w:val="00994566"/>
    <w:rsid w:val="009A62AC"/>
    <w:rsid w:val="009C01EE"/>
    <w:rsid w:val="009C28D0"/>
    <w:rsid w:val="009D361E"/>
    <w:rsid w:val="00A03F10"/>
    <w:rsid w:val="00A17AF4"/>
    <w:rsid w:val="00A34596"/>
    <w:rsid w:val="00A4168D"/>
    <w:rsid w:val="00A43ABD"/>
    <w:rsid w:val="00A44253"/>
    <w:rsid w:val="00A44E40"/>
    <w:rsid w:val="00A53B66"/>
    <w:rsid w:val="00A86B71"/>
    <w:rsid w:val="00A932A9"/>
    <w:rsid w:val="00AA4E36"/>
    <w:rsid w:val="00AB4299"/>
    <w:rsid w:val="00B173A4"/>
    <w:rsid w:val="00B24DA5"/>
    <w:rsid w:val="00B437B8"/>
    <w:rsid w:val="00B518AC"/>
    <w:rsid w:val="00B628CD"/>
    <w:rsid w:val="00B668CB"/>
    <w:rsid w:val="00BB3359"/>
    <w:rsid w:val="00BB3B78"/>
    <w:rsid w:val="00BB7463"/>
    <w:rsid w:val="00BF4E58"/>
    <w:rsid w:val="00C00716"/>
    <w:rsid w:val="00C00EE5"/>
    <w:rsid w:val="00C03598"/>
    <w:rsid w:val="00C05DFD"/>
    <w:rsid w:val="00C5324C"/>
    <w:rsid w:val="00C61BE0"/>
    <w:rsid w:val="00C76926"/>
    <w:rsid w:val="00CA1F80"/>
    <w:rsid w:val="00CA5D70"/>
    <w:rsid w:val="00CB7EFB"/>
    <w:rsid w:val="00CE435D"/>
    <w:rsid w:val="00CF0B21"/>
    <w:rsid w:val="00CF5486"/>
    <w:rsid w:val="00D00CD9"/>
    <w:rsid w:val="00D14805"/>
    <w:rsid w:val="00D2581E"/>
    <w:rsid w:val="00D33995"/>
    <w:rsid w:val="00D37B7A"/>
    <w:rsid w:val="00D414D7"/>
    <w:rsid w:val="00D64EB2"/>
    <w:rsid w:val="00D85FD2"/>
    <w:rsid w:val="00DC2E41"/>
    <w:rsid w:val="00E021DF"/>
    <w:rsid w:val="00E17930"/>
    <w:rsid w:val="00E33A4D"/>
    <w:rsid w:val="00E423FF"/>
    <w:rsid w:val="00E53FDC"/>
    <w:rsid w:val="00E6571A"/>
    <w:rsid w:val="00E73E29"/>
    <w:rsid w:val="00E760CC"/>
    <w:rsid w:val="00E81D3A"/>
    <w:rsid w:val="00E83CE2"/>
    <w:rsid w:val="00EA341B"/>
    <w:rsid w:val="00EE42EF"/>
    <w:rsid w:val="00EE560E"/>
    <w:rsid w:val="00F17B43"/>
    <w:rsid w:val="00F301FC"/>
    <w:rsid w:val="00F363CD"/>
    <w:rsid w:val="00F47684"/>
    <w:rsid w:val="00F54104"/>
    <w:rsid w:val="00F67B63"/>
    <w:rsid w:val="00F94B28"/>
    <w:rsid w:val="00F95F44"/>
    <w:rsid w:val="00FA149B"/>
    <w:rsid w:val="00FA3C65"/>
    <w:rsid w:val="00FB0D47"/>
    <w:rsid w:val="00FB34A2"/>
    <w:rsid w:val="00FB7DC5"/>
    <w:rsid w:val="00FD1353"/>
    <w:rsid w:val="02B73E03"/>
    <w:rsid w:val="08D825EC"/>
    <w:rsid w:val="23BA01E8"/>
    <w:rsid w:val="2703706E"/>
    <w:rsid w:val="2AFE4FEC"/>
    <w:rsid w:val="374A1960"/>
    <w:rsid w:val="574127B6"/>
    <w:rsid w:val="581C2FC9"/>
    <w:rsid w:val="640C0762"/>
    <w:rsid w:val="65942C36"/>
    <w:rsid w:val="69B25D25"/>
    <w:rsid w:val="6FF739AD"/>
    <w:rsid w:val="741D2336"/>
    <w:rsid w:val="765A57DE"/>
  </w:rsids>
  <m:mathPr>
    <m:mathFont m:val="Cambria Math"/>
    <m:brkBin m:val="before"/>
    <m:brkBinSub m:val="--"/>
    <m:smallFrac m:val="0"/>
    <m:dispDef/>
    <m:lMargin m:val="0"/>
    <m:rMargin m:val="0"/>
    <m:defJc m:val="centerGroup"/>
    <m:wrapIndent m:val="1440"/>
    <m:intLim m:val="subSup"/>
    <m:naryLim m:val="undOvr"/>
  </m:mathPr>
  <w:doNotAutoCompressPictures/>
  <w:themeFontLang w:val="uk-UA"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pPr>
    <w:rPr>
      <w:rFonts w:ascii="Times New Roman" w:hAnsi="Times New Roman" w:eastAsia="Times New Roman" w:cs="Times New Roman"/>
      <w:sz w:val="24"/>
      <w:szCs w:val="24"/>
      <w:lang w:val="ru-RU" w:eastAsia="uk-UA"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qFormat/>
    <w:uiPriority w:val="99"/>
    <w:pPr>
      <w:tabs>
        <w:tab w:val="center" w:pos="4677"/>
        <w:tab w:val="right" w:pos="9355"/>
      </w:tabs>
    </w:pPr>
  </w:style>
  <w:style w:type="character" w:styleId="5">
    <w:name w:val="Hyperlink"/>
    <w:basedOn w:val="2"/>
    <w:semiHidden/>
    <w:unhideWhenUsed/>
    <w:qFormat/>
    <w:uiPriority w:val="99"/>
    <w:rPr>
      <w:color w:val="0000FF"/>
      <w:u w:val="single"/>
    </w:rPr>
  </w:style>
  <w:style w:type="character" w:styleId="6">
    <w:name w:val="Strong"/>
    <w:basedOn w:val="2"/>
    <w:qFormat/>
    <w:locked/>
    <w:uiPriority w:val="0"/>
    <w:rPr>
      <w:b/>
      <w:bCs/>
    </w:rPr>
  </w:style>
  <w:style w:type="paragraph" w:styleId="7">
    <w:name w:val="Subtitle"/>
    <w:basedOn w:val="1"/>
    <w:next w:val="1"/>
    <w:link w:val="14"/>
    <w:qFormat/>
    <w:locked/>
    <w:uiPriority w:val="0"/>
    <w:pPr>
      <w:spacing w:after="60"/>
      <w:jc w:val="center"/>
      <w:outlineLvl w:val="1"/>
    </w:pPr>
    <w:rPr>
      <w:rFonts w:ascii="Cambria" w:hAnsi="Cambria"/>
    </w:rPr>
  </w:style>
  <w:style w:type="paragraph" w:styleId="8">
    <w:name w:val="Title"/>
    <w:basedOn w:val="1"/>
    <w:next w:val="1"/>
    <w:link w:val="15"/>
    <w:qFormat/>
    <w:locked/>
    <w:uiPriority w:val="0"/>
    <w:pPr>
      <w:spacing w:before="240" w:after="60"/>
      <w:jc w:val="center"/>
      <w:outlineLvl w:val="0"/>
    </w:pPr>
    <w:rPr>
      <w:rFonts w:ascii="Cambria" w:hAnsi="Cambria"/>
      <w:b/>
      <w:bCs/>
      <w:kern w:val="28"/>
      <w:sz w:val="32"/>
      <w:szCs w:val="32"/>
    </w:rPr>
  </w:style>
  <w:style w:type="paragraph" w:customStyle="1" w:styleId="9">
    <w:name w:val="rvps2"/>
    <w:basedOn w:val="1"/>
    <w:qFormat/>
    <w:uiPriority w:val="99"/>
    <w:pPr>
      <w:widowControl/>
      <w:suppressAutoHyphens w:val="0"/>
      <w:spacing w:before="100" w:beforeAutospacing="1" w:after="100" w:afterAutospacing="1"/>
    </w:pPr>
    <w:rPr>
      <w:lang w:eastAsia="ru-RU"/>
    </w:rPr>
  </w:style>
  <w:style w:type="paragraph" w:customStyle="1" w:styleId="10">
    <w:name w:val="rvps14"/>
    <w:basedOn w:val="1"/>
    <w:qFormat/>
    <w:uiPriority w:val="99"/>
    <w:pPr>
      <w:widowControl/>
      <w:suppressAutoHyphens w:val="0"/>
      <w:spacing w:before="100" w:beforeAutospacing="1" w:after="100" w:afterAutospacing="1"/>
    </w:pPr>
    <w:rPr>
      <w:rFonts w:ascii="Calibri" w:hAnsi="Calibri" w:cs="Calibri"/>
      <w:lang w:val="uk-UA"/>
    </w:rPr>
  </w:style>
  <w:style w:type="character" w:customStyle="1" w:styleId="11">
    <w:name w:val="rvts37"/>
    <w:basedOn w:val="2"/>
    <w:qFormat/>
    <w:uiPriority w:val="99"/>
  </w:style>
  <w:style w:type="character" w:customStyle="1" w:styleId="12">
    <w:name w:val="Footer Char"/>
    <w:basedOn w:val="2"/>
    <w:semiHidden/>
    <w:qFormat/>
    <w:locked/>
    <w:uiPriority w:val="99"/>
    <w:rPr>
      <w:sz w:val="24"/>
      <w:szCs w:val="24"/>
      <w:lang w:val="ru-RU"/>
    </w:rPr>
  </w:style>
  <w:style w:type="character" w:customStyle="1" w:styleId="13">
    <w:name w:val="Нижний колонтитул Знак"/>
    <w:link w:val="4"/>
    <w:qFormat/>
    <w:locked/>
    <w:uiPriority w:val="99"/>
    <w:rPr>
      <w:sz w:val="24"/>
      <w:szCs w:val="24"/>
      <w:lang w:val="ru-RU" w:eastAsia="uk-UA"/>
    </w:rPr>
  </w:style>
  <w:style w:type="character" w:customStyle="1" w:styleId="14">
    <w:name w:val="Подзаголовок Знак"/>
    <w:basedOn w:val="2"/>
    <w:link w:val="7"/>
    <w:qFormat/>
    <w:uiPriority w:val="0"/>
    <w:rPr>
      <w:rFonts w:ascii="Cambria" w:hAnsi="Cambria" w:eastAsia="Times New Roman" w:cs="Times New Roman"/>
      <w:sz w:val="24"/>
      <w:szCs w:val="24"/>
      <w:lang w:val="ru-RU"/>
    </w:rPr>
  </w:style>
  <w:style w:type="character" w:customStyle="1" w:styleId="15">
    <w:name w:val="Название Знак"/>
    <w:basedOn w:val="2"/>
    <w:link w:val="8"/>
    <w:qFormat/>
    <w:uiPriority w:val="0"/>
    <w:rPr>
      <w:rFonts w:ascii="Cambria" w:hAnsi="Cambria" w:eastAsia="Times New Roman" w:cs="Times New Roman"/>
      <w:b/>
      <w:bCs/>
      <w:kern w:val="28"/>
      <w:sz w:val="32"/>
      <w:szCs w:val="32"/>
      <w:lang w:val="ru-RU"/>
    </w:rPr>
  </w:style>
  <w:style w:type="paragraph" w:customStyle="1" w:styleId="16">
    <w:name w:val="Default"/>
    <w:qFormat/>
    <w:uiPriority w:val="0"/>
    <w:pPr>
      <w:autoSpaceDE w:val="0"/>
      <w:autoSpaceDN w:val="0"/>
      <w:adjustRightInd w:val="0"/>
    </w:pPr>
    <w:rPr>
      <w:rFonts w:ascii="Times New Roman" w:hAnsi="Times New Roman" w:eastAsia="Times New Roman" w:cs="Times New Roman"/>
      <w:color w:val="000000"/>
      <w:sz w:val="24"/>
      <w:szCs w:val="24"/>
      <w:lang w:val="uk-UA" w:eastAsia="uk-UA" w:bidi="ar-SA"/>
    </w:rPr>
  </w:style>
  <w:style w:type="paragraph" w:customStyle="1" w:styleId="17">
    <w:name w:val="Table Paragraph"/>
    <w:basedOn w:val="1"/>
    <w:qFormat/>
    <w:uiPriority w:val="1"/>
    <w:pPr>
      <w:suppressAutoHyphens w:val="0"/>
      <w:autoSpaceDE w:val="0"/>
      <w:autoSpaceDN w:val="0"/>
      <w:ind w:left="200"/>
    </w:pPr>
    <w:rPr>
      <w:sz w:val="22"/>
      <w:szCs w:val="22"/>
      <w:lang w:val="uk-UA" w:eastAsia="en-US"/>
    </w:rPr>
  </w:style>
  <w:style w:type="paragraph" w:styleId="1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Manager>Чарторижський ЯМ</Manager>
  <Company>Baukron</Company>
  <Pages>5</Pages>
  <Words>1002</Words>
  <Characters>6868</Characters>
  <Lines>57</Lines>
  <Paragraphs>15</Paragraphs>
  <TotalTime>0</TotalTime>
  <ScaleCrop>false</ScaleCrop>
  <LinksUpToDate>false</LinksUpToDate>
  <CharactersWithSpaces>7855</CharactersWithSpaces>
  <HyperlinkBase>www.dac.baukron.com</HyperlinkBase>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2024-11-25T06:57:00Z</dcterms:created>
  <dc:creator>АСІГД DAC</dc:creator>
  <cp:lastModifiedBy>Комп 30</cp:lastModifiedBy>
  <cp:lastPrinted>2022-10-27T06:18:00Z</cp:lastPrinted>
  <dcterms:modified xsi:type="dcterms:W3CDTF">2026-06-15T07:27:43Z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0F4DBA4FF45241EFB449BF8BF599CB94_12</vt:lpwstr>
  </property>
</Properties>
</file>