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91" w:rsidRDefault="00A341C4" w:rsidP="00517F91">
      <w:pPr>
        <w:jc w:val="right"/>
        <w:rPr>
          <w:lang w:val="uk-UA"/>
        </w:rPr>
      </w:pPr>
      <w:r>
        <w:rPr>
          <w:lang w:val="uk-UA"/>
        </w:rPr>
        <w:t>ЗАТВЕРДЖЕНО:</w:t>
      </w:r>
    </w:p>
    <w:p w:rsidR="00EF3E05" w:rsidRDefault="00A341C4" w:rsidP="00517F91">
      <w:pPr>
        <w:jc w:val="right"/>
        <w:rPr>
          <w:lang w:val="uk-UA"/>
        </w:rPr>
      </w:pPr>
      <w:r>
        <w:rPr>
          <w:lang w:val="uk-UA"/>
        </w:rPr>
        <w:t>Рішенням сесії</w:t>
      </w:r>
    </w:p>
    <w:p w:rsidR="00A341C4" w:rsidRDefault="00A341C4" w:rsidP="00517F91">
      <w:pPr>
        <w:jc w:val="right"/>
        <w:rPr>
          <w:lang w:val="uk-UA"/>
        </w:rPr>
      </w:pPr>
      <w:r>
        <w:rPr>
          <w:lang w:val="uk-UA"/>
        </w:rPr>
        <w:t xml:space="preserve"> Саксаганської сільської ради</w:t>
      </w:r>
    </w:p>
    <w:p w:rsidR="00A341C4" w:rsidRDefault="003C681B" w:rsidP="00517F91">
      <w:pPr>
        <w:jc w:val="right"/>
        <w:rPr>
          <w:lang w:val="uk-UA"/>
        </w:rPr>
      </w:pPr>
      <w:r>
        <w:rPr>
          <w:lang w:val="uk-UA"/>
        </w:rPr>
        <w:t>в</w:t>
      </w:r>
      <w:r w:rsidR="00DC3723">
        <w:rPr>
          <w:lang w:val="uk-UA"/>
        </w:rPr>
        <w:t>ід  12 грудня 2024 року</w:t>
      </w:r>
      <w:r w:rsidR="00D21E58">
        <w:rPr>
          <w:lang w:val="en-US"/>
        </w:rPr>
        <w:t xml:space="preserve"> </w:t>
      </w:r>
      <w:r w:rsidR="00DC3723">
        <w:rPr>
          <w:lang w:val="uk-UA"/>
        </w:rPr>
        <w:t xml:space="preserve">№2795 </w:t>
      </w:r>
      <w:r w:rsidR="00D21E58">
        <w:rPr>
          <w:lang w:val="uk-UA"/>
        </w:rPr>
        <w:t>–</w:t>
      </w:r>
      <w:r w:rsidR="00DC3723">
        <w:rPr>
          <w:lang w:val="uk-UA"/>
        </w:rPr>
        <w:t xml:space="preserve"> </w:t>
      </w:r>
      <w:r w:rsidR="00D21E58">
        <w:rPr>
          <w:lang w:val="uk-UA"/>
        </w:rPr>
        <w:t>50/</w:t>
      </w:r>
      <w:r w:rsidR="00D21E58">
        <w:rPr>
          <w:lang w:val="en-US"/>
        </w:rPr>
        <w:t>V</w:t>
      </w:r>
      <w:r w:rsidR="00D21E58">
        <w:rPr>
          <w:lang w:val="uk-UA"/>
        </w:rPr>
        <w:t>ІІІ</w:t>
      </w:r>
      <w:r w:rsidR="00DC3723">
        <w:rPr>
          <w:lang w:val="uk-UA"/>
        </w:rPr>
        <w:t xml:space="preserve"> </w:t>
      </w:r>
    </w:p>
    <w:p w:rsidR="00EF3E05" w:rsidRDefault="00EF3E05" w:rsidP="00517F91">
      <w:pPr>
        <w:jc w:val="right"/>
        <w:rPr>
          <w:lang w:val="uk-UA"/>
        </w:rPr>
      </w:pPr>
      <w:r>
        <w:rPr>
          <w:lang w:val="uk-UA"/>
        </w:rPr>
        <w:t xml:space="preserve">Сільський голова </w:t>
      </w:r>
    </w:p>
    <w:p w:rsidR="00EF3E05" w:rsidRDefault="00EF3E05" w:rsidP="00517F91">
      <w:pPr>
        <w:jc w:val="right"/>
        <w:rPr>
          <w:lang w:val="uk-UA"/>
        </w:rPr>
      </w:pPr>
      <w:r>
        <w:rPr>
          <w:lang w:val="uk-UA"/>
        </w:rPr>
        <w:t>_________________ Олег БАБЕЦЬ</w:t>
      </w:r>
    </w:p>
    <w:p w:rsidR="00A341C4" w:rsidRDefault="00A341C4" w:rsidP="00517F91">
      <w:pPr>
        <w:jc w:val="right"/>
        <w:rPr>
          <w:lang w:val="uk-UA"/>
        </w:rPr>
      </w:pPr>
    </w:p>
    <w:p w:rsidR="00A341C4" w:rsidRDefault="00A341C4" w:rsidP="00517F91">
      <w:pPr>
        <w:jc w:val="right"/>
        <w:rPr>
          <w:lang w:val="uk-UA"/>
        </w:rPr>
      </w:pPr>
    </w:p>
    <w:p w:rsidR="00A341C4" w:rsidRDefault="00A341C4" w:rsidP="00517F91">
      <w:pPr>
        <w:jc w:val="right"/>
        <w:rPr>
          <w:lang w:val="uk-UA"/>
        </w:rPr>
      </w:pPr>
    </w:p>
    <w:p w:rsidR="00A341C4" w:rsidRPr="00F3042F" w:rsidRDefault="00A341C4" w:rsidP="00517F91">
      <w:pPr>
        <w:jc w:val="right"/>
        <w:rPr>
          <w:lang w:val="uk-UA"/>
        </w:rPr>
      </w:pPr>
    </w:p>
    <w:p w:rsidR="00517F91" w:rsidRPr="00F3042F" w:rsidRDefault="00517F91" w:rsidP="00517F91">
      <w:pPr>
        <w:jc w:val="right"/>
        <w:rPr>
          <w:lang w:val="uk-UA"/>
        </w:rPr>
      </w:pPr>
    </w:p>
    <w:p w:rsidR="00517F91" w:rsidRDefault="00517F91" w:rsidP="00517F91">
      <w:pPr>
        <w:jc w:val="center"/>
        <w:rPr>
          <w:b/>
          <w:sz w:val="28"/>
          <w:szCs w:val="26"/>
          <w:lang w:val="uk-UA"/>
        </w:rPr>
      </w:pPr>
      <w:bookmarkStart w:id="0" w:name="_Hlk51262138"/>
      <w:r>
        <w:rPr>
          <w:b/>
          <w:sz w:val="28"/>
          <w:szCs w:val="26"/>
          <w:lang w:val="uk-UA"/>
        </w:rPr>
        <w:t>ПРОГРАМА</w:t>
      </w:r>
    </w:p>
    <w:bookmarkEnd w:id="0"/>
    <w:p w:rsidR="00556FD3" w:rsidRDefault="00517F91" w:rsidP="00517F91">
      <w:pPr>
        <w:jc w:val="center"/>
        <w:rPr>
          <w:b/>
          <w:sz w:val="28"/>
          <w:szCs w:val="26"/>
          <w:lang w:val="uk-UA"/>
        </w:rPr>
      </w:pPr>
      <w:r w:rsidRPr="00813060">
        <w:rPr>
          <w:b/>
          <w:sz w:val="28"/>
          <w:szCs w:val="26"/>
          <w:lang w:val="uk-UA"/>
        </w:rPr>
        <w:t xml:space="preserve">розвитку та функціонування української мови як державної в усіх сферах суспільного життя </w:t>
      </w:r>
      <w:r w:rsidR="00556FD3">
        <w:rPr>
          <w:b/>
          <w:sz w:val="28"/>
          <w:szCs w:val="26"/>
          <w:lang w:val="uk-UA"/>
        </w:rPr>
        <w:t>Саксаганської територіальної громади</w:t>
      </w:r>
    </w:p>
    <w:p w:rsidR="00517F91" w:rsidRPr="00F3042F" w:rsidRDefault="00517F91" w:rsidP="00517F91">
      <w:pPr>
        <w:jc w:val="center"/>
        <w:rPr>
          <w:b/>
          <w:sz w:val="28"/>
          <w:szCs w:val="26"/>
          <w:lang w:val="uk-UA"/>
        </w:rPr>
      </w:pPr>
      <w:r w:rsidRPr="00813060">
        <w:rPr>
          <w:b/>
          <w:sz w:val="28"/>
          <w:szCs w:val="26"/>
          <w:lang w:val="uk-UA"/>
        </w:rPr>
        <w:t xml:space="preserve"> на 202</w:t>
      </w:r>
      <w:r w:rsidR="00556FD3">
        <w:rPr>
          <w:b/>
          <w:sz w:val="28"/>
          <w:szCs w:val="26"/>
          <w:lang w:val="uk-UA"/>
        </w:rPr>
        <w:t>5</w:t>
      </w:r>
      <w:r w:rsidRPr="00813060">
        <w:rPr>
          <w:b/>
          <w:sz w:val="28"/>
          <w:szCs w:val="26"/>
          <w:lang w:val="uk-UA"/>
        </w:rPr>
        <w:t xml:space="preserve"> – 2030 роки</w:t>
      </w:r>
    </w:p>
    <w:p w:rsidR="00517F91" w:rsidRPr="00465546" w:rsidRDefault="00517F91" w:rsidP="003C681B">
      <w:pPr>
        <w:rPr>
          <w:sz w:val="28"/>
          <w:szCs w:val="28"/>
          <w:lang w:val="uk-UA"/>
        </w:rPr>
      </w:pPr>
    </w:p>
    <w:p w:rsidR="00517F91" w:rsidRPr="00465546" w:rsidRDefault="00517F91" w:rsidP="003C681B">
      <w:pPr>
        <w:rPr>
          <w:sz w:val="28"/>
          <w:szCs w:val="28"/>
          <w:lang w:val="uk-UA"/>
        </w:rPr>
      </w:pPr>
    </w:p>
    <w:p w:rsidR="00517F91" w:rsidRPr="00912B27" w:rsidRDefault="00517F91" w:rsidP="00517F91">
      <w:pPr>
        <w:ind w:firstLine="709"/>
        <w:jc w:val="center"/>
        <w:rPr>
          <w:b/>
          <w:sz w:val="28"/>
          <w:szCs w:val="28"/>
          <w:lang w:val="uk-UA"/>
        </w:rPr>
      </w:pPr>
      <w:r w:rsidRPr="00912B27">
        <w:rPr>
          <w:b/>
          <w:sz w:val="28"/>
          <w:szCs w:val="28"/>
          <w:lang w:val="uk-UA"/>
        </w:rPr>
        <w:t>І. Склад проблеми та обґрунтування необхідності</w:t>
      </w:r>
    </w:p>
    <w:p w:rsidR="00517F91" w:rsidRPr="00912B27" w:rsidRDefault="00517F91" w:rsidP="00517F91">
      <w:pPr>
        <w:ind w:firstLine="709"/>
        <w:jc w:val="center"/>
        <w:rPr>
          <w:b/>
          <w:sz w:val="28"/>
          <w:szCs w:val="28"/>
          <w:lang w:val="uk-UA"/>
        </w:rPr>
      </w:pPr>
      <w:r w:rsidRPr="00912B27">
        <w:rPr>
          <w:b/>
          <w:sz w:val="28"/>
          <w:szCs w:val="28"/>
          <w:lang w:val="uk-UA"/>
        </w:rPr>
        <w:t>її розв’язання шляхом розроблення і виконання Програми</w:t>
      </w:r>
    </w:p>
    <w:p w:rsidR="00517F91" w:rsidRPr="00912B27" w:rsidRDefault="00517F91" w:rsidP="00517F91">
      <w:pPr>
        <w:ind w:firstLine="709"/>
        <w:jc w:val="both"/>
        <w:rPr>
          <w:sz w:val="28"/>
          <w:szCs w:val="28"/>
          <w:lang w:val="uk-UA"/>
        </w:rPr>
      </w:pPr>
    </w:p>
    <w:p w:rsidR="00517F91" w:rsidRPr="00912B27" w:rsidRDefault="00517F91" w:rsidP="00517F91">
      <w:pPr>
        <w:shd w:val="clear" w:color="auto" w:fill="FFFFFF"/>
        <w:ind w:firstLine="709"/>
        <w:jc w:val="both"/>
        <w:outlineLvl w:val="1"/>
        <w:rPr>
          <w:sz w:val="28"/>
          <w:szCs w:val="28"/>
          <w:lang w:val="uk-UA"/>
        </w:rPr>
      </w:pPr>
      <w:r w:rsidRPr="00912B27">
        <w:rPr>
          <w:sz w:val="28"/>
          <w:szCs w:val="28"/>
          <w:lang w:val="uk-UA"/>
        </w:rPr>
        <w:t xml:space="preserve">Програма розвитку та функціонування української мови як державної в усіх сферах суспільного життя у Дніпропетровській області на 2022 – 2030 роки (далі </w:t>
      </w:r>
      <w:bookmarkStart w:id="1" w:name="_Hlk87860585"/>
      <w:r w:rsidRPr="00912B27">
        <w:rPr>
          <w:sz w:val="28"/>
          <w:szCs w:val="28"/>
          <w:lang w:val="uk-UA"/>
        </w:rPr>
        <w:t>–</w:t>
      </w:r>
      <w:bookmarkEnd w:id="1"/>
      <w:r w:rsidRPr="00912B27">
        <w:rPr>
          <w:sz w:val="28"/>
          <w:szCs w:val="28"/>
          <w:lang w:val="uk-UA"/>
        </w:rPr>
        <w:t xml:space="preserve"> Програма) розроблена відповідно до статей 10, 11, 53 Конституції України, Закону України “Про забезпечення функціонування української мови як державної”, Указу Президента України від 31 травня 2018 року № 156/2018 “Про невідкладні заходи щодо зміцнення державного статусу української мови та сприяння створенню єдиного культурного простору України”, розпоряджень Кабінету Міністрів України від 17 липня 2019 року № 596-р “Про схвалення Стратегії популяризації української мови до 2030 року “Сильна мова – успішна держава” (із змінами), від 16 грудня 2020 року № 1585-р “Про затвердження плану заходів з реалізації першого етапу (до 2022 року) Стратегії популяризації української мови до 2030 року “Сильна мова – успішна держава” (із змінами), від 19 травня 2021 року № 474-р “Про схвалення Концепції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року”, Європейської культурної конвенції 1954 року. </w:t>
      </w:r>
    </w:p>
    <w:p w:rsidR="00517F91" w:rsidRPr="00912B27" w:rsidRDefault="00517F91" w:rsidP="00517F91">
      <w:pPr>
        <w:shd w:val="clear" w:color="auto" w:fill="FFFFFF"/>
        <w:ind w:firstLine="709"/>
        <w:jc w:val="both"/>
        <w:outlineLvl w:val="1"/>
        <w:rPr>
          <w:sz w:val="28"/>
          <w:szCs w:val="28"/>
          <w:lang w:val="uk-UA"/>
        </w:rPr>
      </w:pPr>
      <w:r w:rsidRPr="00912B27">
        <w:rPr>
          <w:sz w:val="28"/>
          <w:szCs w:val="28"/>
          <w:lang w:val="uk-UA"/>
        </w:rPr>
        <w:t>Мова є найважливішим засобом людського спілкування та інтелектуального розвитку особистості, визначальною ознакою держави, безцінною і невичерпною скарбницею культурного надбання народу.</w:t>
      </w:r>
    </w:p>
    <w:p w:rsidR="00517F91" w:rsidRPr="00912B27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912B27">
        <w:rPr>
          <w:sz w:val="28"/>
          <w:szCs w:val="28"/>
          <w:lang w:val="uk-UA"/>
        </w:rPr>
        <w:t>Утвердження і розвиток української мови, яка згідно з Конституцією України є державною, – це та стратегічна мета, без реалізації якої неможлива подальша розбудова Української держави. У Дніпропетровській області існує потреба в подальшій активізації цілеспрямованої роботи щодо забезпечення належного використання державної мови в різних сферах життя: освіті, культурі, спорті та туризмі, рекламі, засобах масової інформації тощо.</w:t>
      </w:r>
    </w:p>
    <w:p w:rsidR="00517F91" w:rsidRPr="00912B27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912B27">
        <w:rPr>
          <w:sz w:val="28"/>
          <w:szCs w:val="28"/>
          <w:lang w:val="uk-UA"/>
        </w:rPr>
        <w:lastRenderedPageBreak/>
        <w:t>Отже, необхідно докласти зусиль для розширення меж функціонування української мови, забезпечення її усебічного розвитку як консолідуючої сили громадянського суспільства.</w:t>
      </w:r>
    </w:p>
    <w:p w:rsidR="00517F91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912B27">
        <w:rPr>
          <w:sz w:val="28"/>
          <w:szCs w:val="28"/>
          <w:lang w:val="uk-UA"/>
        </w:rPr>
        <w:t>Реалізація заходів Програми, які передбачають популяризацію української мови, культури та історичної свідомості української нації через найширший спектр культурних, наукових та інформаційних заходів у закладах освіти,</w:t>
      </w:r>
      <w:r w:rsidR="009B2971">
        <w:rPr>
          <w:sz w:val="28"/>
          <w:szCs w:val="28"/>
          <w:lang w:val="uk-UA"/>
        </w:rPr>
        <w:t xml:space="preserve"> культури</w:t>
      </w:r>
      <w:r w:rsidRPr="00912B27">
        <w:rPr>
          <w:sz w:val="28"/>
          <w:szCs w:val="28"/>
          <w:lang w:val="uk-UA"/>
        </w:rPr>
        <w:t xml:space="preserve"> сприятиме розвитку та функціонуванню української мови.</w:t>
      </w:r>
    </w:p>
    <w:p w:rsidR="00517F91" w:rsidRPr="00465546" w:rsidRDefault="00517F91" w:rsidP="00517F91">
      <w:pPr>
        <w:pStyle w:val="3"/>
        <w:spacing w:after="0"/>
        <w:ind w:left="0" w:firstLine="709"/>
        <w:contextualSpacing/>
        <w:jc w:val="both"/>
        <w:rPr>
          <w:sz w:val="20"/>
          <w:szCs w:val="20"/>
        </w:rPr>
      </w:pPr>
    </w:p>
    <w:p w:rsidR="00517F91" w:rsidRPr="00465546" w:rsidRDefault="00517F91" w:rsidP="00517F9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465546">
        <w:rPr>
          <w:b/>
          <w:sz w:val="28"/>
          <w:szCs w:val="28"/>
          <w:lang w:val="uk-UA"/>
        </w:rPr>
        <w:t>ІІ. Мета Програми</w:t>
      </w:r>
    </w:p>
    <w:p w:rsidR="00517F91" w:rsidRPr="00465546" w:rsidRDefault="00517F91" w:rsidP="00517F91">
      <w:pPr>
        <w:tabs>
          <w:tab w:val="left" w:pos="1020"/>
        </w:tabs>
        <w:ind w:firstLine="709"/>
        <w:jc w:val="both"/>
        <w:outlineLvl w:val="0"/>
        <w:rPr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465546">
        <w:rPr>
          <w:sz w:val="28"/>
          <w:szCs w:val="28"/>
          <w:lang w:val="uk-UA"/>
        </w:rPr>
        <w:t xml:space="preserve">Метою Програми є забезпечення додержання конституційних гарантій щодо всебічного розвитку і функціонування української мови як державної в усіх сферах суспільного життя на території </w:t>
      </w:r>
      <w:r w:rsidR="00D76822">
        <w:rPr>
          <w:sz w:val="28"/>
          <w:szCs w:val="28"/>
          <w:lang w:val="uk-UA"/>
        </w:rPr>
        <w:t>Саксаганської ТГ</w:t>
      </w:r>
      <w:r w:rsidRPr="00465546">
        <w:rPr>
          <w:sz w:val="28"/>
          <w:szCs w:val="28"/>
          <w:lang w:val="uk-UA"/>
        </w:rPr>
        <w:t>, посилення її консолідуючої ролі в суспільстві як засобу зміцнення державної єдності, підвищення її ролі в забезпеченні територіальної цілісності т</w:t>
      </w:r>
      <w:r w:rsidR="00870ACB">
        <w:rPr>
          <w:sz w:val="28"/>
          <w:szCs w:val="28"/>
          <w:lang w:val="uk-UA"/>
        </w:rPr>
        <w:t>а</w:t>
      </w:r>
      <w:r w:rsidRPr="00465546">
        <w:rPr>
          <w:sz w:val="28"/>
          <w:szCs w:val="28"/>
          <w:lang w:val="uk-UA"/>
        </w:rPr>
        <w:t xml:space="preserve"> підтримки розвитку національної культури.</w:t>
      </w:r>
    </w:p>
    <w:p w:rsidR="00517F91" w:rsidRPr="00465546" w:rsidRDefault="00517F91" w:rsidP="00517F91">
      <w:pPr>
        <w:ind w:firstLine="709"/>
        <w:jc w:val="both"/>
        <w:rPr>
          <w:b/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465546">
        <w:rPr>
          <w:b/>
          <w:sz w:val="28"/>
          <w:szCs w:val="28"/>
          <w:lang w:val="uk-UA"/>
        </w:rPr>
        <w:t>ІІІ. Обґрунтування шляхів і засобів розв’язання проблеми</w:t>
      </w:r>
    </w:p>
    <w:p w:rsidR="00517F91" w:rsidRPr="00465546" w:rsidRDefault="00517F91" w:rsidP="00517F91">
      <w:pPr>
        <w:ind w:firstLine="709"/>
        <w:jc w:val="both"/>
        <w:rPr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465546">
        <w:rPr>
          <w:sz w:val="28"/>
          <w:szCs w:val="28"/>
          <w:lang w:val="uk-UA"/>
        </w:rPr>
        <w:t>Мету Програми передбачається досягти шляхом:</w:t>
      </w:r>
    </w:p>
    <w:p w:rsidR="00517F91" w:rsidRPr="00465546" w:rsidRDefault="00517F91" w:rsidP="00517F91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465546">
        <w:rPr>
          <w:sz w:val="28"/>
          <w:szCs w:val="28"/>
          <w:lang w:val="uk-UA" w:eastAsia="uk-UA"/>
        </w:rPr>
        <w:t>зміцнення державного статусу української мови, вироблення дієвого механізму її захисту, розвитку та популяризації</w:t>
      </w:r>
      <w:r w:rsidRPr="00465546">
        <w:rPr>
          <w:bCs/>
          <w:sz w:val="28"/>
          <w:szCs w:val="28"/>
          <w:lang w:val="uk-UA" w:eastAsia="uk-UA"/>
        </w:rPr>
        <w:t>;</w:t>
      </w:r>
    </w:p>
    <w:p w:rsidR="00517F91" w:rsidRPr="00465546" w:rsidRDefault="00517F91" w:rsidP="00517F91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465546">
        <w:rPr>
          <w:sz w:val="28"/>
          <w:szCs w:val="28"/>
          <w:lang w:val="uk-UA" w:eastAsia="uk-UA"/>
        </w:rPr>
        <w:t>забезпечення дотримання посадовими і службовими особами органів місцевого самоврядування, іншими посадовими та службовими особами вимог закону щодо обов’язковості використання державної мови під час виконання своїх посадових обов’язків, недопущення її дискримінації;</w:t>
      </w: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 w:eastAsia="uk-UA"/>
        </w:rPr>
      </w:pPr>
      <w:r w:rsidRPr="00465546">
        <w:rPr>
          <w:sz w:val="28"/>
          <w:szCs w:val="28"/>
          <w:lang w:val="uk-UA" w:eastAsia="uk-UA"/>
        </w:rPr>
        <w:t xml:space="preserve">мотивування населення </w:t>
      </w:r>
      <w:r w:rsidR="006767E2">
        <w:rPr>
          <w:sz w:val="28"/>
          <w:szCs w:val="28"/>
          <w:lang w:val="uk-UA" w:eastAsia="uk-UA"/>
        </w:rPr>
        <w:t>громади</w:t>
      </w:r>
      <w:r w:rsidRPr="00465546">
        <w:rPr>
          <w:sz w:val="28"/>
          <w:szCs w:val="28"/>
          <w:lang w:val="uk-UA" w:eastAsia="uk-UA"/>
        </w:rPr>
        <w:t xml:space="preserve"> до вивчення, навчання та спілкування українською мовою;</w:t>
      </w: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 w:eastAsia="uk-UA"/>
        </w:rPr>
      </w:pPr>
      <w:r w:rsidRPr="00465546">
        <w:rPr>
          <w:sz w:val="28"/>
          <w:szCs w:val="28"/>
          <w:lang w:val="uk-UA" w:eastAsia="uk-UA"/>
        </w:rPr>
        <w:t>розроблення (у тому числі дистанційних та онлайн-курсів) для різних категорій осіб, у тому числі на безоплатній основі, здійснення інших заходів щодо сприяння опануванню державної мови;</w:t>
      </w:r>
    </w:p>
    <w:p w:rsidR="00517F91" w:rsidRPr="00465546" w:rsidRDefault="00517F91" w:rsidP="00517F91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465546">
        <w:rPr>
          <w:bCs/>
          <w:sz w:val="28"/>
          <w:szCs w:val="28"/>
          <w:lang w:val="uk-UA" w:eastAsia="uk-UA"/>
        </w:rPr>
        <w:t>покращення якості викладання державної мови в закладах освіти, сприяння вивченню української мови;</w:t>
      </w: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 w:eastAsia="uk-UA"/>
        </w:rPr>
      </w:pPr>
      <w:r w:rsidRPr="00465546">
        <w:rPr>
          <w:sz w:val="28"/>
          <w:szCs w:val="28"/>
          <w:lang w:val="uk-UA" w:eastAsia="uk-UA"/>
        </w:rPr>
        <w:t>розвитку національної словникової бази та забезпечення вільного доступу до неї користувачів;</w:t>
      </w:r>
    </w:p>
    <w:p w:rsidR="00517F91" w:rsidRPr="008459EC" w:rsidRDefault="00517F91" w:rsidP="008459EC">
      <w:pPr>
        <w:ind w:firstLine="709"/>
        <w:jc w:val="both"/>
        <w:rPr>
          <w:sz w:val="28"/>
          <w:szCs w:val="28"/>
          <w:lang w:val="uk-UA" w:eastAsia="uk-UA"/>
        </w:rPr>
      </w:pPr>
      <w:r w:rsidRPr="00465546">
        <w:rPr>
          <w:sz w:val="28"/>
          <w:szCs w:val="28"/>
          <w:lang w:val="uk-UA" w:eastAsia="uk-UA"/>
        </w:rPr>
        <w:t>сприяння створенню інформаційної, у тому числі медійної, україномовної продукції;</w:t>
      </w:r>
    </w:p>
    <w:p w:rsidR="00517F91" w:rsidRPr="00465546" w:rsidRDefault="00517F91" w:rsidP="00517F91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465546">
        <w:rPr>
          <w:sz w:val="28"/>
          <w:szCs w:val="28"/>
          <w:lang w:val="uk-UA" w:eastAsia="uk-UA"/>
        </w:rPr>
        <w:t xml:space="preserve">подальшої підтримки книговидавничої справи в Україні, зокрема </w:t>
      </w:r>
      <w:r w:rsidR="00131AEF">
        <w:rPr>
          <w:sz w:val="28"/>
          <w:szCs w:val="28"/>
          <w:lang w:val="uk-UA" w:eastAsia="uk-UA"/>
        </w:rPr>
        <w:t>популяризації</w:t>
      </w:r>
      <w:r w:rsidRPr="00465546">
        <w:rPr>
          <w:sz w:val="28"/>
          <w:szCs w:val="28"/>
          <w:lang w:val="uk-UA" w:eastAsia="uk-UA"/>
        </w:rPr>
        <w:t xml:space="preserve"> книг українською мовою</w:t>
      </w:r>
      <w:r w:rsidR="00131AEF">
        <w:rPr>
          <w:sz w:val="28"/>
          <w:szCs w:val="28"/>
          <w:lang w:val="uk-UA" w:eastAsia="uk-UA"/>
        </w:rPr>
        <w:t>;</w:t>
      </w:r>
    </w:p>
    <w:p w:rsidR="00517F91" w:rsidRDefault="00517F91" w:rsidP="00517F91">
      <w:pPr>
        <w:ind w:firstLine="709"/>
        <w:jc w:val="both"/>
        <w:rPr>
          <w:sz w:val="28"/>
          <w:szCs w:val="28"/>
          <w:lang w:val="uk-UA" w:eastAsia="uk-UA"/>
        </w:rPr>
      </w:pPr>
      <w:r w:rsidRPr="00465546">
        <w:rPr>
          <w:sz w:val="28"/>
          <w:szCs w:val="28"/>
          <w:lang w:val="uk-UA" w:eastAsia="uk-UA"/>
        </w:rPr>
        <w:t>створення умов для підвищення обізнаності громадян про порядок застосування норм законодавства про державну мову у відповідних сферах, забезпечення реалізації громадянами права на одержання інформації та послуг українською мовою, у тому числі через засоби масової інформації</w:t>
      </w:r>
      <w:r w:rsidR="007C4E52">
        <w:rPr>
          <w:sz w:val="28"/>
          <w:szCs w:val="28"/>
          <w:lang w:val="uk-UA" w:eastAsia="uk-UA"/>
        </w:rPr>
        <w:t>.</w:t>
      </w:r>
    </w:p>
    <w:p w:rsidR="000C78AC" w:rsidRDefault="000C78AC" w:rsidP="00517F91">
      <w:pPr>
        <w:ind w:firstLine="709"/>
        <w:jc w:val="both"/>
        <w:rPr>
          <w:sz w:val="28"/>
          <w:szCs w:val="28"/>
          <w:lang w:val="uk-UA" w:eastAsia="uk-UA"/>
        </w:rPr>
      </w:pPr>
    </w:p>
    <w:p w:rsidR="000C78AC" w:rsidRPr="00465546" w:rsidRDefault="000C78AC" w:rsidP="00517F91">
      <w:pPr>
        <w:ind w:firstLine="709"/>
        <w:jc w:val="both"/>
        <w:rPr>
          <w:bCs/>
          <w:sz w:val="28"/>
          <w:szCs w:val="28"/>
          <w:lang w:val="uk-UA" w:eastAsia="uk-UA"/>
        </w:rPr>
      </w:pPr>
    </w:p>
    <w:p w:rsidR="00517F91" w:rsidRPr="00465546" w:rsidRDefault="00517F91" w:rsidP="00517F91">
      <w:pPr>
        <w:ind w:firstLine="709"/>
        <w:jc w:val="both"/>
        <w:rPr>
          <w:sz w:val="20"/>
          <w:szCs w:val="20"/>
          <w:lang w:val="uk-UA"/>
        </w:rPr>
      </w:pPr>
    </w:p>
    <w:p w:rsidR="00517F91" w:rsidRPr="00465546" w:rsidRDefault="00517F91" w:rsidP="000C78AC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465546">
        <w:rPr>
          <w:b/>
          <w:sz w:val="28"/>
          <w:szCs w:val="28"/>
          <w:lang w:val="uk-UA"/>
        </w:rPr>
        <w:t>IV. Строки виконання Програми</w:t>
      </w:r>
    </w:p>
    <w:p w:rsidR="00517F91" w:rsidRPr="00465546" w:rsidRDefault="00517F91" w:rsidP="00517F91">
      <w:pPr>
        <w:ind w:firstLine="709"/>
        <w:jc w:val="both"/>
        <w:rPr>
          <w:b/>
          <w:sz w:val="20"/>
          <w:szCs w:val="20"/>
          <w:lang w:val="uk-UA"/>
        </w:rPr>
      </w:pPr>
    </w:p>
    <w:p w:rsidR="00517F91" w:rsidRPr="00465546" w:rsidRDefault="00517F91" w:rsidP="00517F9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5546">
        <w:rPr>
          <w:rFonts w:ascii="Times New Roman" w:hAnsi="Times New Roman"/>
          <w:sz w:val="28"/>
          <w:szCs w:val="28"/>
          <w:lang w:val="uk-UA"/>
        </w:rPr>
        <w:t>Виконання заходів Програми здійснюється протягом 202</w:t>
      </w:r>
      <w:r w:rsidR="00114011">
        <w:rPr>
          <w:rFonts w:ascii="Times New Roman" w:hAnsi="Times New Roman"/>
          <w:sz w:val="28"/>
          <w:szCs w:val="28"/>
          <w:lang w:val="uk-UA"/>
        </w:rPr>
        <w:t>5</w:t>
      </w:r>
      <w:r w:rsidRPr="00465546">
        <w:rPr>
          <w:rFonts w:ascii="Times New Roman" w:hAnsi="Times New Roman"/>
          <w:sz w:val="28"/>
          <w:szCs w:val="28"/>
          <w:lang w:val="uk-UA"/>
        </w:rPr>
        <w:t xml:space="preserve"> – 2030 років. </w:t>
      </w:r>
    </w:p>
    <w:p w:rsidR="00517F91" w:rsidRPr="00517F91" w:rsidRDefault="00517F91" w:rsidP="00517F91">
      <w:pPr>
        <w:ind w:firstLine="709"/>
        <w:jc w:val="center"/>
        <w:outlineLvl w:val="0"/>
        <w:rPr>
          <w:b/>
          <w:sz w:val="28"/>
          <w:szCs w:val="28"/>
        </w:rPr>
      </w:pPr>
    </w:p>
    <w:p w:rsidR="00517F91" w:rsidRPr="00465546" w:rsidRDefault="00517F91" w:rsidP="00517F9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465546">
        <w:rPr>
          <w:b/>
          <w:sz w:val="28"/>
          <w:szCs w:val="28"/>
          <w:lang w:val="uk-UA"/>
        </w:rPr>
        <w:t>V. Перелік завдань і заходів Програми</w:t>
      </w:r>
    </w:p>
    <w:p w:rsidR="00517F91" w:rsidRPr="00465546" w:rsidRDefault="00517F91" w:rsidP="00517F91">
      <w:pPr>
        <w:ind w:firstLine="709"/>
        <w:jc w:val="both"/>
        <w:outlineLvl w:val="0"/>
        <w:rPr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465546">
        <w:rPr>
          <w:spacing w:val="2"/>
          <w:sz w:val="28"/>
          <w:szCs w:val="28"/>
          <w:lang w:val="uk-UA"/>
        </w:rPr>
        <w:t>Перелік завдань і заходів Програми наведено в додатку 1.</w:t>
      </w:r>
    </w:p>
    <w:p w:rsidR="00517F91" w:rsidRPr="00465546" w:rsidRDefault="00517F91" w:rsidP="00517F91">
      <w:pPr>
        <w:ind w:firstLine="709"/>
        <w:jc w:val="both"/>
        <w:rPr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465546">
        <w:rPr>
          <w:b/>
          <w:sz w:val="28"/>
          <w:szCs w:val="28"/>
          <w:lang w:val="uk-UA"/>
        </w:rPr>
        <w:t>VI. Ресурсне забезпечення Програми</w:t>
      </w:r>
    </w:p>
    <w:p w:rsidR="00517F91" w:rsidRPr="00465546" w:rsidRDefault="00517F91" w:rsidP="00517F91">
      <w:pPr>
        <w:ind w:firstLine="709"/>
        <w:jc w:val="both"/>
        <w:outlineLvl w:val="0"/>
        <w:rPr>
          <w:bCs/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both"/>
        <w:outlineLvl w:val="0"/>
        <w:rPr>
          <w:b/>
          <w:sz w:val="28"/>
          <w:szCs w:val="28"/>
          <w:lang w:val="uk-UA"/>
        </w:rPr>
      </w:pPr>
      <w:r w:rsidRPr="00465546">
        <w:rPr>
          <w:bCs/>
          <w:sz w:val="28"/>
          <w:szCs w:val="28"/>
          <w:lang w:val="uk-UA"/>
        </w:rPr>
        <w:t>Фінансування Програми здійснюється відповідно до законодавства України за рахунок коштів державного, обласного</w:t>
      </w:r>
      <w:r w:rsidR="004F5C69">
        <w:rPr>
          <w:bCs/>
          <w:sz w:val="28"/>
          <w:szCs w:val="28"/>
          <w:lang w:val="uk-UA"/>
        </w:rPr>
        <w:t>, місцевого</w:t>
      </w:r>
      <w:r w:rsidRPr="00465546">
        <w:rPr>
          <w:bCs/>
          <w:sz w:val="28"/>
          <w:szCs w:val="28"/>
          <w:lang w:val="uk-UA"/>
        </w:rPr>
        <w:t xml:space="preserve"> бюджетів (з урахуванням реальних можливостей та в межах наявних фінансових ресурсів, передбачених на відповідний рік), а також інших джерел, не заборонених чинним законодавством.</w:t>
      </w:r>
    </w:p>
    <w:p w:rsidR="00517F91" w:rsidRPr="00465546" w:rsidRDefault="00517F91" w:rsidP="00517F91">
      <w:pPr>
        <w:ind w:firstLine="709"/>
        <w:jc w:val="both"/>
        <w:rPr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center"/>
        <w:outlineLvl w:val="0"/>
        <w:rPr>
          <w:b/>
          <w:bCs/>
          <w:sz w:val="28"/>
          <w:szCs w:val="28"/>
          <w:lang w:val="uk-UA"/>
        </w:rPr>
      </w:pPr>
      <w:r w:rsidRPr="00465546">
        <w:rPr>
          <w:b/>
          <w:sz w:val="28"/>
          <w:szCs w:val="28"/>
          <w:lang w:val="uk-UA"/>
        </w:rPr>
        <w:t>VII</w:t>
      </w:r>
      <w:r w:rsidRPr="00465546">
        <w:rPr>
          <w:b/>
          <w:bCs/>
          <w:sz w:val="28"/>
          <w:szCs w:val="28"/>
          <w:lang w:val="uk-UA"/>
        </w:rPr>
        <w:t xml:space="preserve">. Організація управління та контролю за ходом </w:t>
      </w:r>
    </w:p>
    <w:p w:rsidR="00517F91" w:rsidRPr="00465546" w:rsidRDefault="00517F91" w:rsidP="00517F91">
      <w:pPr>
        <w:ind w:firstLine="709"/>
        <w:jc w:val="center"/>
        <w:outlineLvl w:val="0"/>
        <w:rPr>
          <w:b/>
          <w:bCs/>
          <w:sz w:val="28"/>
          <w:szCs w:val="28"/>
          <w:lang w:val="uk-UA"/>
        </w:rPr>
      </w:pPr>
      <w:r w:rsidRPr="00465546">
        <w:rPr>
          <w:b/>
          <w:bCs/>
          <w:sz w:val="28"/>
          <w:szCs w:val="28"/>
          <w:lang w:val="uk-UA"/>
        </w:rPr>
        <w:t>виконання Програми</w:t>
      </w:r>
    </w:p>
    <w:p w:rsidR="00517F91" w:rsidRPr="00465546" w:rsidRDefault="00517F91" w:rsidP="00517F91">
      <w:pPr>
        <w:ind w:firstLine="709"/>
        <w:jc w:val="both"/>
        <w:rPr>
          <w:bCs/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465546">
        <w:rPr>
          <w:sz w:val="28"/>
          <w:szCs w:val="28"/>
          <w:lang w:val="uk-UA"/>
        </w:rPr>
        <w:t xml:space="preserve">Координацію виконання Програми здійснює її замовник – </w:t>
      </w:r>
      <w:r w:rsidR="008A52DD">
        <w:rPr>
          <w:sz w:val="28"/>
          <w:szCs w:val="28"/>
          <w:lang w:val="uk-UA"/>
        </w:rPr>
        <w:t>відділ освіти,</w:t>
      </w:r>
      <w:r w:rsidRPr="00465546">
        <w:rPr>
          <w:sz w:val="28"/>
          <w:szCs w:val="28"/>
          <w:lang w:val="uk-UA"/>
        </w:rPr>
        <w:t xml:space="preserve"> культури,  </w:t>
      </w:r>
      <w:r w:rsidR="008A52DD">
        <w:rPr>
          <w:sz w:val="28"/>
          <w:szCs w:val="28"/>
          <w:lang w:val="uk-UA"/>
        </w:rPr>
        <w:t>молоді та спорту Саксаганської сільської ради</w:t>
      </w:r>
      <w:r w:rsidRPr="00465546">
        <w:rPr>
          <w:sz w:val="28"/>
          <w:szCs w:val="28"/>
          <w:lang w:val="uk-UA"/>
        </w:rPr>
        <w:t>, який щокварталу, до 15 числа місяця, що настає за звітним періодом, подає до</w:t>
      </w:r>
      <w:r w:rsidR="0091380A">
        <w:rPr>
          <w:sz w:val="28"/>
          <w:szCs w:val="28"/>
          <w:lang w:val="uk-UA"/>
        </w:rPr>
        <w:t xml:space="preserve"> райдержадміністрації узагальнену інформацію про заходи з її виконання.</w:t>
      </w: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465546">
        <w:rPr>
          <w:sz w:val="28"/>
          <w:szCs w:val="28"/>
          <w:lang w:val="uk-UA"/>
        </w:rPr>
        <w:t xml:space="preserve">Контроль за виконанням Програми здійснює постійна комісія </w:t>
      </w:r>
      <w:r w:rsidR="009108B2">
        <w:rPr>
          <w:sz w:val="28"/>
          <w:szCs w:val="28"/>
          <w:lang w:val="uk-UA"/>
        </w:rPr>
        <w:t>з гуманітарних питань виконавчого комітету Саксаганської сільської ради</w:t>
      </w:r>
    </w:p>
    <w:p w:rsidR="00517F91" w:rsidRPr="00465546" w:rsidRDefault="00517F91" w:rsidP="00517F91">
      <w:pPr>
        <w:ind w:firstLine="709"/>
        <w:jc w:val="both"/>
        <w:rPr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465546">
        <w:rPr>
          <w:b/>
          <w:sz w:val="28"/>
          <w:szCs w:val="28"/>
          <w:lang w:val="uk-UA"/>
        </w:rPr>
        <w:t>VIII. Очікувані кінцеві результати виконання Програми</w:t>
      </w:r>
    </w:p>
    <w:p w:rsidR="00517F91" w:rsidRPr="00465546" w:rsidRDefault="00517F91" w:rsidP="00517F91">
      <w:pPr>
        <w:ind w:firstLine="709"/>
        <w:jc w:val="both"/>
        <w:rPr>
          <w:sz w:val="20"/>
          <w:szCs w:val="20"/>
          <w:lang w:val="uk-UA"/>
        </w:rPr>
      </w:pP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465546">
        <w:rPr>
          <w:sz w:val="28"/>
          <w:szCs w:val="28"/>
          <w:lang w:val="uk-UA"/>
        </w:rPr>
        <w:t>Виконання завдань і заходів Програми дозволить:</w:t>
      </w: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465546">
        <w:rPr>
          <w:sz w:val="28"/>
          <w:szCs w:val="28"/>
          <w:lang w:val="uk-UA"/>
        </w:rPr>
        <w:t xml:space="preserve">здійснити практичну реалізацію статті 10 Конституції України щодо всебічного розвитку і функціонування української мови в усіх сферах суспільного життя; </w:t>
      </w:r>
    </w:p>
    <w:p w:rsidR="00517F91" w:rsidRPr="00465546" w:rsidRDefault="00517F91" w:rsidP="00187F6D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465546">
        <w:rPr>
          <w:sz w:val="28"/>
          <w:szCs w:val="28"/>
          <w:lang w:val="uk-UA"/>
        </w:rPr>
        <w:t xml:space="preserve">розширити функціонування української мови у засобах масової інформації, сфері культури, освіти </w:t>
      </w:r>
      <w:r w:rsidR="00187F6D">
        <w:rPr>
          <w:sz w:val="28"/>
          <w:szCs w:val="28"/>
          <w:lang w:val="uk-UA"/>
        </w:rPr>
        <w:t>громади</w:t>
      </w:r>
      <w:r w:rsidRPr="00465546">
        <w:rPr>
          <w:sz w:val="28"/>
          <w:szCs w:val="28"/>
          <w:lang w:val="uk-UA"/>
        </w:rPr>
        <w:t>;</w:t>
      </w: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465546">
        <w:rPr>
          <w:sz w:val="28"/>
          <w:szCs w:val="28"/>
          <w:lang w:val="uk-UA"/>
        </w:rPr>
        <w:t xml:space="preserve">підтримувати </w:t>
      </w:r>
      <w:r w:rsidR="00675437">
        <w:rPr>
          <w:sz w:val="28"/>
          <w:szCs w:val="28"/>
          <w:lang w:val="uk-UA"/>
        </w:rPr>
        <w:t xml:space="preserve">популяризацію </w:t>
      </w:r>
      <w:r w:rsidRPr="00465546">
        <w:rPr>
          <w:sz w:val="28"/>
          <w:szCs w:val="28"/>
          <w:lang w:val="uk-UA"/>
        </w:rPr>
        <w:t xml:space="preserve">видань українською мовою; поліпшити навчально-методичне забезпечення закладів </w:t>
      </w:r>
      <w:r w:rsidR="00675437">
        <w:rPr>
          <w:sz w:val="28"/>
          <w:szCs w:val="28"/>
          <w:lang w:val="uk-UA"/>
        </w:rPr>
        <w:t>освіти громади</w:t>
      </w:r>
      <w:r w:rsidRPr="00465546">
        <w:rPr>
          <w:sz w:val="28"/>
          <w:szCs w:val="28"/>
          <w:lang w:val="uk-UA"/>
        </w:rPr>
        <w:t xml:space="preserve"> з метою вивчення державної мови.</w:t>
      </w:r>
    </w:p>
    <w:p w:rsidR="00517F91" w:rsidRPr="00465546" w:rsidRDefault="00517F91" w:rsidP="00517F91">
      <w:pPr>
        <w:ind w:firstLine="709"/>
        <w:jc w:val="both"/>
        <w:rPr>
          <w:sz w:val="28"/>
          <w:szCs w:val="28"/>
          <w:lang w:val="uk-UA"/>
        </w:rPr>
      </w:pPr>
      <w:r w:rsidRPr="00465546">
        <w:rPr>
          <w:sz w:val="28"/>
          <w:szCs w:val="28"/>
          <w:lang w:val="uk-UA"/>
        </w:rPr>
        <w:t xml:space="preserve">Виконання Програми </w:t>
      </w:r>
      <w:r w:rsidRPr="00465546">
        <w:rPr>
          <w:bCs/>
          <w:spacing w:val="-9"/>
          <w:sz w:val="28"/>
          <w:szCs w:val="28"/>
          <w:lang w:val="uk-UA"/>
        </w:rPr>
        <w:t xml:space="preserve">забезпечить поширення сфер застосування державної </w:t>
      </w:r>
      <w:r w:rsidRPr="00465546">
        <w:rPr>
          <w:bCs/>
          <w:spacing w:val="-3"/>
          <w:sz w:val="28"/>
          <w:szCs w:val="28"/>
          <w:lang w:val="uk-UA"/>
        </w:rPr>
        <w:t xml:space="preserve">мови, розвиток української культури в усіх її проявах, формування цілісного </w:t>
      </w:r>
      <w:r w:rsidRPr="00465546">
        <w:rPr>
          <w:bCs/>
          <w:sz w:val="28"/>
          <w:szCs w:val="28"/>
          <w:lang w:val="uk-UA"/>
        </w:rPr>
        <w:t>національного інформаційно-культурного простору.</w:t>
      </w:r>
      <w:r w:rsidRPr="00465546">
        <w:rPr>
          <w:sz w:val="28"/>
          <w:szCs w:val="28"/>
          <w:lang w:val="uk-UA"/>
        </w:rPr>
        <w:t xml:space="preserve"> Передбачені кроки сприятимуть вихованню різнобічно та гармонійно розвиненого, національно свідомого, високоосвіченого громадянина України, який буде здатний реалізувати свої права та виконати покладені на нього </w:t>
      </w:r>
      <w:r w:rsidRPr="00465546">
        <w:rPr>
          <w:bCs/>
          <w:sz w:val="28"/>
          <w:szCs w:val="28"/>
          <w:lang w:val="uk-UA"/>
        </w:rPr>
        <w:t xml:space="preserve">Конституцією </w:t>
      </w:r>
      <w:r w:rsidRPr="00465546">
        <w:rPr>
          <w:sz w:val="28"/>
          <w:szCs w:val="28"/>
          <w:lang w:val="uk-UA"/>
        </w:rPr>
        <w:t xml:space="preserve">України </w:t>
      </w:r>
      <w:r w:rsidRPr="00465546">
        <w:rPr>
          <w:bCs/>
          <w:sz w:val="28"/>
          <w:szCs w:val="28"/>
          <w:lang w:val="uk-UA"/>
        </w:rPr>
        <w:t>обов’язки.</w:t>
      </w:r>
    </w:p>
    <w:p w:rsidR="00517F91" w:rsidRPr="00465546" w:rsidRDefault="00517F91" w:rsidP="00517F91">
      <w:pPr>
        <w:ind w:firstLine="709"/>
        <w:jc w:val="both"/>
        <w:rPr>
          <w:spacing w:val="-4"/>
          <w:sz w:val="28"/>
          <w:szCs w:val="28"/>
          <w:lang w:val="uk-UA"/>
        </w:rPr>
      </w:pPr>
      <w:r w:rsidRPr="00465546">
        <w:rPr>
          <w:spacing w:val="-4"/>
          <w:sz w:val="28"/>
          <w:szCs w:val="28"/>
          <w:lang w:val="uk-UA"/>
        </w:rPr>
        <w:t>Показники оцінки ефективності виконання Програми наведено в додатку 2.</w:t>
      </w:r>
    </w:p>
    <w:p w:rsidR="00517F91" w:rsidRPr="00912B27" w:rsidRDefault="00517F91" w:rsidP="00517F91">
      <w:pPr>
        <w:rPr>
          <w:lang w:val="uk-UA"/>
        </w:rPr>
        <w:sectPr w:rsidR="00517F91" w:rsidRPr="00912B27" w:rsidSect="00465546">
          <w:headerReference w:type="default" r:id="rId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17F91" w:rsidRDefault="00517F91" w:rsidP="00517F91">
      <w:pPr>
        <w:ind w:left="6237"/>
        <w:rPr>
          <w:sz w:val="28"/>
          <w:szCs w:val="26"/>
          <w:lang w:val="uk-UA"/>
        </w:rPr>
      </w:pPr>
      <w:r w:rsidRPr="00430C81">
        <w:rPr>
          <w:sz w:val="28"/>
          <w:szCs w:val="26"/>
          <w:lang w:val="uk-UA"/>
        </w:rPr>
        <w:lastRenderedPageBreak/>
        <w:t xml:space="preserve">Додаток 2 </w:t>
      </w:r>
    </w:p>
    <w:p w:rsidR="00517F91" w:rsidRPr="00430C81" w:rsidRDefault="00517F91" w:rsidP="00517F91">
      <w:pPr>
        <w:ind w:left="6237"/>
        <w:rPr>
          <w:sz w:val="28"/>
          <w:szCs w:val="26"/>
          <w:lang w:val="uk-UA"/>
        </w:rPr>
      </w:pPr>
      <w:r w:rsidRPr="00430C81">
        <w:rPr>
          <w:sz w:val="28"/>
          <w:szCs w:val="26"/>
          <w:lang w:val="uk-UA"/>
        </w:rPr>
        <w:t xml:space="preserve">до рішення </w:t>
      </w:r>
      <w:r w:rsidR="00B803C1">
        <w:rPr>
          <w:sz w:val="28"/>
          <w:szCs w:val="26"/>
          <w:lang w:val="uk-UA"/>
        </w:rPr>
        <w:t>сільської ради</w:t>
      </w:r>
    </w:p>
    <w:p w:rsidR="00517F91" w:rsidRDefault="00517F91" w:rsidP="00517F91">
      <w:pPr>
        <w:contextualSpacing/>
        <w:jc w:val="center"/>
        <w:outlineLvl w:val="0"/>
        <w:rPr>
          <w:b/>
          <w:sz w:val="28"/>
          <w:szCs w:val="28"/>
          <w:lang w:val="uk-UA"/>
        </w:rPr>
      </w:pPr>
    </w:p>
    <w:p w:rsidR="00517F91" w:rsidRPr="00912B27" w:rsidRDefault="00517F91" w:rsidP="00517F91">
      <w:pPr>
        <w:contextualSpacing/>
        <w:jc w:val="center"/>
        <w:outlineLvl w:val="0"/>
        <w:rPr>
          <w:b/>
          <w:sz w:val="28"/>
          <w:szCs w:val="28"/>
          <w:lang w:val="uk-UA"/>
        </w:rPr>
      </w:pPr>
      <w:r w:rsidRPr="00912B27">
        <w:rPr>
          <w:b/>
          <w:sz w:val="28"/>
          <w:szCs w:val="28"/>
          <w:lang w:val="uk-UA"/>
        </w:rPr>
        <w:t>ПАСПОРТ</w:t>
      </w:r>
    </w:p>
    <w:p w:rsidR="00517F91" w:rsidRPr="00912B27" w:rsidRDefault="00517F91" w:rsidP="00517F91">
      <w:pPr>
        <w:contextualSpacing/>
        <w:jc w:val="center"/>
        <w:rPr>
          <w:b/>
          <w:sz w:val="28"/>
          <w:szCs w:val="28"/>
          <w:lang w:val="uk-UA"/>
        </w:rPr>
      </w:pPr>
      <w:r w:rsidRPr="00912B27">
        <w:rPr>
          <w:b/>
          <w:sz w:val="28"/>
          <w:szCs w:val="28"/>
          <w:lang w:val="uk-UA"/>
        </w:rPr>
        <w:t xml:space="preserve"> цільової програми</w:t>
      </w:r>
    </w:p>
    <w:p w:rsidR="00517F91" w:rsidRPr="00912B27" w:rsidRDefault="00517F91" w:rsidP="00517F91">
      <w:pPr>
        <w:contextualSpacing/>
        <w:rPr>
          <w:sz w:val="28"/>
          <w:szCs w:val="28"/>
          <w:lang w:val="uk-UA"/>
        </w:rPr>
      </w:pPr>
    </w:p>
    <w:p w:rsidR="00517F91" w:rsidRPr="00CF303A" w:rsidRDefault="00517F91" w:rsidP="00517F91">
      <w:pPr>
        <w:ind w:firstLine="567"/>
        <w:contextualSpacing/>
        <w:jc w:val="both"/>
        <w:rPr>
          <w:b/>
          <w:bCs/>
          <w:i/>
          <w:iCs/>
          <w:sz w:val="28"/>
          <w:szCs w:val="28"/>
          <w:lang w:val="uk-UA"/>
        </w:rPr>
      </w:pPr>
      <w:r w:rsidRPr="00912B27">
        <w:rPr>
          <w:sz w:val="28"/>
          <w:szCs w:val="28"/>
          <w:lang w:val="uk-UA"/>
        </w:rPr>
        <w:t xml:space="preserve">1. Назва: </w:t>
      </w:r>
      <w:r w:rsidRPr="00CF303A">
        <w:rPr>
          <w:b/>
          <w:bCs/>
          <w:i/>
          <w:iCs/>
          <w:sz w:val="28"/>
          <w:szCs w:val="28"/>
          <w:lang w:val="uk-UA"/>
        </w:rPr>
        <w:t xml:space="preserve">Програма розвитку та функціонування української мови як державної в усіх сферах суспільного життя </w:t>
      </w:r>
      <w:r w:rsidR="00B803C1" w:rsidRPr="00CF303A">
        <w:rPr>
          <w:b/>
          <w:bCs/>
          <w:i/>
          <w:iCs/>
          <w:sz w:val="28"/>
          <w:szCs w:val="28"/>
          <w:lang w:val="uk-UA"/>
        </w:rPr>
        <w:t xml:space="preserve"> Саксаганськ</w:t>
      </w:r>
      <w:r w:rsidR="003960D6" w:rsidRPr="00CF303A">
        <w:rPr>
          <w:b/>
          <w:bCs/>
          <w:i/>
          <w:iCs/>
          <w:sz w:val="28"/>
          <w:szCs w:val="28"/>
          <w:lang w:val="uk-UA"/>
        </w:rPr>
        <w:t>ої</w:t>
      </w:r>
      <w:r w:rsidR="00B803C1" w:rsidRPr="00CF303A">
        <w:rPr>
          <w:b/>
          <w:bCs/>
          <w:i/>
          <w:iCs/>
          <w:sz w:val="28"/>
          <w:szCs w:val="28"/>
          <w:lang w:val="uk-UA"/>
        </w:rPr>
        <w:t xml:space="preserve"> ТГ</w:t>
      </w:r>
      <w:r w:rsidRPr="00CF303A">
        <w:rPr>
          <w:b/>
          <w:bCs/>
          <w:i/>
          <w:iCs/>
          <w:sz w:val="28"/>
          <w:szCs w:val="28"/>
          <w:lang w:val="uk-UA"/>
        </w:rPr>
        <w:t xml:space="preserve"> на 202</w:t>
      </w:r>
      <w:r w:rsidR="00B803C1" w:rsidRPr="00CF303A">
        <w:rPr>
          <w:b/>
          <w:bCs/>
          <w:i/>
          <w:iCs/>
          <w:sz w:val="28"/>
          <w:szCs w:val="28"/>
          <w:lang w:val="uk-UA"/>
        </w:rPr>
        <w:t>5</w:t>
      </w:r>
      <w:r w:rsidRPr="00CF303A">
        <w:rPr>
          <w:b/>
          <w:bCs/>
          <w:i/>
          <w:iCs/>
          <w:sz w:val="28"/>
          <w:szCs w:val="28"/>
          <w:lang w:val="uk-UA"/>
        </w:rPr>
        <w:t> </w:t>
      </w:r>
      <w:r w:rsidRPr="00CF303A">
        <w:rPr>
          <w:b/>
          <w:bCs/>
          <w:i/>
          <w:iCs/>
          <w:spacing w:val="-20"/>
          <w:sz w:val="28"/>
          <w:szCs w:val="28"/>
          <w:lang w:val="uk-UA"/>
        </w:rPr>
        <w:t xml:space="preserve">– </w:t>
      </w:r>
      <w:r w:rsidRPr="00CF303A">
        <w:rPr>
          <w:b/>
          <w:bCs/>
          <w:i/>
          <w:iCs/>
          <w:sz w:val="28"/>
          <w:szCs w:val="28"/>
          <w:lang w:val="uk-UA"/>
        </w:rPr>
        <w:t>2030 роки.</w:t>
      </w:r>
    </w:p>
    <w:p w:rsidR="00517F91" w:rsidRPr="00912B27" w:rsidRDefault="00517F91" w:rsidP="00517F91">
      <w:pPr>
        <w:contextualSpacing/>
        <w:jc w:val="both"/>
        <w:rPr>
          <w:sz w:val="28"/>
          <w:szCs w:val="28"/>
          <w:lang w:val="uk-UA"/>
        </w:rPr>
      </w:pPr>
    </w:p>
    <w:p w:rsidR="00517F91" w:rsidRPr="00912B27" w:rsidRDefault="00517F91" w:rsidP="00517F9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2B27">
        <w:rPr>
          <w:rFonts w:ascii="Times New Roman" w:eastAsia="Times New Roman" w:hAnsi="Times New Roman"/>
          <w:sz w:val="28"/>
          <w:szCs w:val="28"/>
          <w:lang w:val="uk-UA" w:eastAsia="ru-RU"/>
        </w:rPr>
        <w:t>2. Підстава для розроблення: закони України “Про місцеве самоврядування в Україні”, “Про забезпечення функціонування української мови як державної”.</w:t>
      </w:r>
    </w:p>
    <w:p w:rsidR="00517F91" w:rsidRPr="00912B27" w:rsidRDefault="00517F91" w:rsidP="00517F91">
      <w:pPr>
        <w:contextualSpacing/>
        <w:jc w:val="both"/>
        <w:rPr>
          <w:sz w:val="28"/>
          <w:szCs w:val="28"/>
          <w:lang w:val="uk-UA"/>
        </w:rPr>
      </w:pPr>
    </w:p>
    <w:p w:rsidR="00517F91" w:rsidRPr="00912B27" w:rsidRDefault="00517F91" w:rsidP="00517F91">
      <w:pPr>
        <w:ind w:firstLine="567"/>
        <w:contextualSpacing/>
        <w:jc w:val="both"/>
        <w:rPr>
          <w:sz w:val="28"/>
          <w:szCs w:val="28"/>
          <w:lang w:val="uk-UA"/>
        </w:rPr>
      </w:pPr>
      <w:r w:rsidRPr="00912B27">
        <w:rPr>
          <w:sz w:val="28"/>
          <w:szCs w:val="28"/>
          <w:lang w:val="uk-UA"/>
        </w:rPr>
        <w:t xml:space="preserve">3. </w:t>
      </w:r>
      <w:r w:rsidR="003960D6">
        <w:rPr>
          <w:sz w:val="28"/>
          <w:szCs w:val="28"/>
          <w:lang w:val="uk-UA"/>
        </w:rPr>
        <w:t>З</w:t>
      </w:r>
      <w:r w:rsidRPr="00912B27">
        <w:rPr>
          <w:sz w:val="28"/>
          <w:szCs w:val="28"/>
          <w:lang w:val="uk-UA"/>
        </w:rPr>
        <w:t xml:space="preserve">амовник Програми або координатор: </w:t>
      </w:r>
      <w:r w:rsidR="0093319A">
        <w:rPr>
          <w:sz w:val="28"/>
          <w:szCs w:val="28"/>
          <w:lang w:val="uk-UA"/>
        </w:rPr>
        <w:t>відділ освіти</w:t>
      </w:r>
      <w:r w:rsidRPr="00912B27">
        <w:rPr>
          <w:sz w:val="28"/>
          <w:szCs w:val="28"/>
          <w:lang w:val="uk-UA"/>
        </w:rPr>
        <w:t xml:space="preserve"> культури, </w:t>
      </w:r>
      <w:r w:rsidR="0093319A">
        <w:rPr>
          <w:sz w:val="28"/>
          <w:szCs w:val="28"/>
          <w:lang w:val="uk-UA"/>
        </w:rPr>
        <w:t>молоді та спорту Саксаганської сільської ради</w:t>
      </w:r>
    </w:p>
    <w:p w:rsidR="00517F91" w:rsidRPr="00912B27" w:rsidRDefault="00517F91" w:rsidP="0093319A">
      <w:pPr>
        <w:contextualSpacing/>
        <w:jc w:val="both"/>
        <w:rPr>
          <w:sz w:val="28"/>
          <w:szCs w:val="28"/>
          <w:lang w:val="uk-UA"/>
        </w:rPr>
      </w:pPr>
    </w:p>
    <w:p w:rsidR="00517F91" w:rsidRPr="00912B27" w:rsidRDefault="00517F91" w:rsidP="00517F91">
      <w:pPr>
        <w:contextualSpacing/>
        <w:jc w:val="both"/>
        <w:rPr>
          <w:sz w:val="28"/>
          <w:szCs w:val="28"/>
          <w:lang w:val="uk-UA"/>
        </w:rPr>
      </w:pPr>
    </w:p>
    <w:p w:rsidR="00517F91" w:rsidRPr="003332B4" w:rsidRDefault="0093319A" w:rsidP="003332B4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17F91" w:rsidRPr="00912B27">
        <w:rPr>
          <w:sz w:val="28"/>
          <w:szCs w:val="28"/>
          <w:lang w:val="uk-UA"/>
        </w:rPr>
        <w:t>. Відповідальні за виконання:</w:t>
      </w:r>
      <w:r w:rsidR="00307CCF">
        <w:rPr>
          <w:sz w:val="28"/>
          <w:szCs w:val="28"/>
          <w:lang w:val="uk-UA"/>
        </w:rPr>
        <w:t xml:space="preserve">виконавчий комітет Саксаганської сільської ради, </w:t>
      </w:r>
      <w:r w:rsidR="003332B4">
        <w:rPr>
          <w:sz w:val="28"/>
          <w:szCs w:val="28"/>
          <w:lang w:val="uk-UA"/>
        </w:rPr>
        <w:t>відділ освіти</w:t>
      </w:r>
      <w:r w:rsidR="003332B4" w:rsidRPr="00912B27">
        <w:rPr>
          <w:sz w:val="28"/>
          <w:szCs w:val="28"/>
          <w:lang w:val="uk-UA"/>
        </w:rPr>
        <w:t xml:space="preserve"> культури, </w:t>
      </w:r>
      <w:r w:rsidR="003332B4">
        <w:rPr>
          <w:sz w:val="28"/>
          <w:szCs w:val="28"/>
          <w:lang w:val="uk-UA"/>
        </w:rPr>
        <w:t>молоді та спорту Саксаганської сільської ради</w:t>
      </w:r>
      <w:r w:rsidR="00517F91" w:rsidRPr="00912B27">
        <w:rPr>
          <w:spacing w:val="-6"/>
          <w:sz w:val="28"/>
          <w:szCs w:val="28"/>
          <w:lang w:val="uk-UA" w:eastAsia="uk-UA"/>
        </w:rPr>
        <w:t xml:space="preserve">, комунальні заклади освіти </w:t>
      </w:r>
      <w:r w:rsidR="00307CCF">
        <w:rPr>
          <w:spacing w:val="-6"/>
          <w:sz w:val="28"/>
          <w:szCs w:val="28"/>
          <w:lang w:val="uk-UA" w:eastAsia="uk-UA"/>
        </w:rPr>
        <w:t>Саксаганської сільсько</w:t>
      </w:r>
      <w:r w:rsidR="00E43B4E">
        <w:rPr>
          <w:spacing w:val="-6"/>
          <w:sz w:val="28"/>
          <w:szCs w:val="28"/>
          <w:lang w:val="uk-UA" w:eastAsia="uk-UA"/>
        </w:rPr>
        <w:t>ї</w:t>
      </w:r>
      <w:r w:rsidR="00517F91" w:rsidRPr="00912B27">
        <w:rPr>
          <w:spacing w:val="-6"/>
          <w:sz w:val="28"/>
          <w:szCs w:val="28"/>
          <w:lang w:val="uk-UA" w:eastAsia="uk-UA"/>
        </w:rPr>
        <w:t xml:space="preserve"> ради, заклади професійної (професійно-технічної),  заклади</w:t>
      </w:r>
      <w:r w:rsidR="00FC1C5A">
        <w:rPr>
          <w:spacing w:val="-6"/>
          <w:sz w:val="28"/>
          <w:szCs w:val="28"/>
          <w:lang w:val="uk-UA" w:eastAsia="uk-UA"/>
        </w:rPr>
        <w:t xml:space="preserve"> охорони здоров’я, </w:t>
      </w:r>
      <w:r w:rsidR="00E43B4E">
        <w:rPr>
          <w:spacing w:val="-6"/>
          <w:sz w:val="28"/>
          <w:szCs w:val="28"/>
          <w:lang w:val="uk-UA" w:eastAsia="uk-UA"/>
        </w:rPr>
        <w:t xml:space="preserve"> культури</w:t>
      </w:r>
      <w:r w:rsidR="00FC1C5A">
        <w:rPr>
          <w:spacing w:val="-6"/>
          <w:sz w:val="28"/>
          <w:szCs w:val="28"/>
          <w:lang w:val="uk-UA" w:eastAsia="uk-UA"/>
        </w:rPr>
        <w:t>, соціального захисту</w:t>
      </w:r>
      <w:r w:rsidR="00E43B4E">
        <w:rPr>
          <w:spacing w:val="-6"/>
          <w:sz w:val="28"/>
          <w:szCs w:val="28"/>
          <w:lang w:val="uk-UA" w:eastAsia="uk-UA"/>
        </w:rPr>
        <w:t xml:space="preserve"> та інші підприємства.</w:t>
      </w:r>
    </w:p>
    <w:p w:rsidR="00517F91" w:rsidRPr="00912B27" w:rsidRDefault="00517F91" w:rsidP="00517F91">
      <w:pPr>
        <w:ind w:right="-57" w:firstLine="567"/>
        <w:jc w:val="both"/>
        <w:rPr>
          <w:spacing w:val="-6"/>
          <w:sz w:val="28"/>
          <w:szCs w:val="28"/>
          <w:lang w:val="uk-UA" w:eastAsia="uk-UA"/>
        </w:rPr>
      </w:pPr>
    </w:p>
    <w:p w:rsidR="00517F91" w:rsidRPr="00912B27" w:rsidRDefault="00E37D1C" w:rsidP="00517F91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17F91" w:rsidRPr="00912B27">
        <w:rPr>
          <w:sz w:val="28"/>
          <w:szCs w:val="28"/>
          <w:lang w:val="uk-UA"/>
        </w:rPr>
        <w:t xml:space="preserve">. Мета: забезпечення додержання конституційних гарантій щодо всебічного розвитку та функціонування української мови як державної в усіх сферах суспільного життя на території </w:t>
      </w:r>
      <w:r w:rsidR="00FC1C5A">
        <w:rPr>
          <w:sz w:val="28"/>
          <w:szCs w:val="28"/>
          <w:lang w:val="uk-UA"/>
        </w:rPr>
        <w:t>Саксаганської ТГ</w:t>
      </w:r>
      <w:r w:rsidR="00517F91" w:rsidRPr="00912B27">
        <w:rPr>
          <w:sz w:val="28"/>
          <w:szCs w:val="28"/>
          <w:lang w:val="uk-UA"/>
        </w:rPr>
        <w:t>, посилення її консолідуючої ролі в суспільстві як засобу зміцнення єдності</w:t>
      </w:r>
      <w:r w:rsidR="001155F4">
        <w:rPr>
          <w:sz w:val="28"/>
          <w:szCs w:val="28"/>
          <w:lang w:val="uk-UA"/>
        </w:rPr>
        <w:t xml:space="preserve"> жителів громади</w:t>
      </w:r>
      <w:r w:rsidR="00517F91" w:rsidRPr="00912B27">
        <w:rPr>
          <w:sz w:val="28"/>
          <w:szCs w:val="28"/>
          <w:lang w:val="uk-UA"/>
        </w:rPr>
        <w:t xml:space="preserve">, підвищення її ролі в забезпеченні територіальної цілісності </w:t>
      </w:r>
      <w:r w:rsidR="001155F4">
        <w:rPr>
          <w:sz w:val="28"/>
          <w:szCs w:val="28"/>
          <w:lang w:val="uk-UA"/>
        </w:rPr>
        <w:t>громади та</w:t>
      </w:r>
      <w:r w:rsidR="00517F91" w:rsidRPr="00912B27">
        <w:rPr>
          <w:sz w:val="28"/>
          <w:szCs w:val="28"/>
          <w:lang w:val="uk-UA"/>
        </w:rPr>
        <w:t xml:space="preserve"> підтримки розвитку національної культури.</w:t>
      </w:r>
    </w:p>
    <w:p w:rsidR="00517F91" w:rsidRPr="00912B27" w:rsidRDefault="00517F91" w:rsidP="00517F91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517F91" w:rsidRPr="00912B27" w:rsidRDefault="00E37D1C" w:rsidP="00517F91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17F91" w:rsidRPr="00912B27">
        <w:rPr>
          <w:sz w:val="28"/>
          <w:szCs w:val="28"/>
          <w:lang w:val="uk-UA"/>
        </w:rPr>
        <w:t>. Початок: 202</w:t>
      </w:r>
      <w:r>
        <w:rPr>
          <w:sz w:val="28"/>
          <w:szCs w:val="28"/>
          <w:lang w:val="uk-UA"/>
        </w:rPr>
        <w:t>5</w:t>
      </w:r>
      <w:r w:rsidR="00517F91" w:rsidRPr="00912B27">
        <w:rPr>
          <w:sz w:val="28"/>
          <w:szCs w:val="28"/>
          <w:lang w:val="uk-UA"/>
        </w:rPr>
        <w:t xml:space="preserve"> рік, закінчення: 2030 рік.</w:t>
      </w:r>
    </w:p>
    <w:p w:rsidR="00517F91" w:rsidRDefault="00517F91" w:rsidP="00E37D1C">
      <w:pPr>
        <w:contextualSpacing/>
        <w:jc w:val="both"/>
        <w:rPr>
          <w:sz w:val="28"/>
          <w:szCs w:val="28"/>
          <w:lang w:val="uk-UA"/>
        </w:rPr>
      </w:pPr>
    </w:p>
    <w:p w:rsidR="00517F91" w:rsidRDefault="00E37D1C" w:rsidP="00517F91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17F91" w:rsidRPr="00912B27">
        <w:rPr>
          <w:sz w:val="28"/>
          <w:szCs w:val="28"/>
          <w:lang w:val="uk-UA"/>
        </w:rPr>
        <w:t>. Загальні обсяги фінансування:</w:t>
      </w:r>
    </w:p>
    <w:p w:rsidR="00517F91" w:rsidRPr="00465546" w:rsidRDefault="00517F91" w:rsidP="00517F91">
      <w:pPr>
        <w:ind w:firstLine="567"/>
        <w:contextualSpacing/>
        <w:jc w:val="both"/>
        <w:rPr>
          <w:sz w:val="28"/>
          <w:szCs w:val="28"/>
          <w:lang w:val="uk-UA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2120"/>
        <w:gridCol w:w="651"/>
        <w:gridCol w:w="992"/>
        <w:gridCol w:w="851"/>
        <w:gridCol w:w="945"/>
        <w:gridCol w:w="1039"/>
        <w:gridCol w:w="1192"/>
      </w:tblGrid>
      <w:tr w:rsidR="00D6242B" w:rsidRPr="00D6242B" w:rsidTr="001E604B">
        <w:trPr>
          <w:trHeight w:val="312"/>
          <w:tblHeader/>
          <w:jc w:val="center"/>
        </w:trPr>
        <w:tc>
          <w:tcPr>
            <w:tcW w:w="2044" w:type="dxa"/>
            <w:vMerge w:val="restart"/>
            <w:shd w:val="clear" w:color="auto" w:fill="auto"/>
            <w:vAlign w:val="center"/>
          </w:tcPr>
          <w:p w:rsidR="00517F91" w:rsidRPr="00D6242B" w:rsidRDefault="00517F91" w:rsidP="001E604B">
            <w:pPr>
              <w:ind w:left="22" w:right="-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517F91" w:rsidRPr="00D6242B" w:rsidRDefault="00517F91" w:rsidP="001E604B">
            <w:pPr>
              <w:ind w:left="-77" w:right="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 xml:space="preserve">Обсяг фінансування усього, </w:t>
            </w:r>
            <w:r w:rsidR="001C3439" w:rsidRPr="00D6242B">
              <w:rPr>
                <w:b/>
                <w:sz w:val="20"/>
                <w:szCs w:val="20"/>
                <w:lang w:val="uk-UA"/>
              </w:rPr>
              <w:t>(</w:t>
            </w:r>
            <w:r w:rsidRPr="00D6242B">
              <w:rPr>
                <w:b/>
                <w:sz w:val="20"/>
                <w:szCs w:val="20"/>
                <w:lang w:val="uk-UA"/>
              </w:rPr>
              <w:t>грн</w:t>
            </w:r>
            <w:r w:rsidR="001C3439" w:rsidRPr="00D6242B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5670" w:type="dxa"/>
            <w:gridSpan w:val="6"/>
            <w:vAlign w:val="center"/>
          </w:tcPr>
          <w:p w:rsidR="00517F91" w:rsidRPr="00D6242B" w:rsidRDefault="00517F91" w:rsidP="001E604B">
            <w:pPr>
              <w:ind w:left="120" w:right="5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За роками виконання</w:t>
            </w:r>
          </w:p>
        </w:tc>
      </w:tr>
      <w:tr w:rsidR="00D6242B" w:rsidRPr="00D6242B" w:rsidTr="004951FC">
        <w:trPr>
          <w:trHeight w:val="274"/>
          <w:tblHeader/>
          <w:jc w:val="center"/>
        </w:trPr>
        <w:tc>
          <w:tcPr>
            <w:tcW w:w="2044" w:type="dxa"/>
            <w:vMerge/>
            <w:shd w:val="clear" w:color="auto" w:fill="auto"/>
            <w:vAlign w:val="center"/>
          </w:tcPr>
          <w:p w:rsidR="00517F91" w:rsidRPr="00D6242B" w:rsidRDefault="00517F91" w:rsidP="001E604B">
            <w:pPr>
              <w:ind w:left="22" w:right="-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517F91" w:rsidRPr="00D6242B" w:rsidRDefault="00517F91" w:rsidP="001E604B">
            <w:pPr>
              <w:ind w:left="-77" w:right="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517F91" w:rsidRPr="00D6242B" w:rsidRDefault="00517F91" w:rsidP="001E604B">
            <w:pPr>
              <w:ind w:right="-63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76" w:type="dxa"/>
            <w:gridSpan w:val="3"/>
            <w:vAlign w:val="center"/>
          </w:tcPr>
          <w:p w:rsidR="00517F91" w:rsidRPr="00D6242B" w:rsidRDefault="00517F91" w:rsidP="001E60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6242B" w:rsidRPr="00D6242B" w:rsidTr="001C3439">
        <w:trPr>
          <w:trHeight w:val="214"/>
          <w:tblHeader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22" w:right="-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4951FC" w:rsidRPr="00D6242B" w:rsidRDefault="004951FC" w:rsidP="001E604B">
            <w:pPr>
              <w:ind w:left="120" w:right="5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  <w:vAlign w:val="center"/>
          </w:tcPr>
          <w:p w:rsidR="004951FC" w:rsidRPr="00D6242B" w:rsidRDefault="004951FC" w:rsidP="001E604B">
            <w:pPr>
              <w:ind w:left="-108" w:right="-5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59" w:right="-137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37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59" w:right="-137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2028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59" w:right="-137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2029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4951FC" w:rsidRPr="00D6242B" w:rsidRDefault="00A13ADA" w:rsidP="001E604B">
            <w:pPr>
              <w:ind w:left="-59" w:right="-137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2030</w:t>
            </w:r>
          </w:p>
        </w:tc>
      </w:tr>
      <w:tr w:rsidR="00D6242B" w:rsidRPr="00D6242B" w:rsidTr="001C3439">
        <w:trPr>
          <w:trHeight w:val="343"/>
          <w:tblHeader/>
          <w:jc w:val="center"/>
        </w:trPr>
        <w:tc>
          <w:tcPr>
            <w:tcW w:w="2044" w:type="dxa"/>
            <w:vAlign w:val="center"/>
          </w:tcPr>
          <w:p w:rsidR="004951FC" w:rsidRPr="00D6242B" w:rsidRDefault="004951FC" w:rsidP="001E604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D6242B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</w:t>
            </w:r>
          </w:p>
          <w:p w:rsidR="004951FC" w:rsidRPr="00D6242B" w:rsidRDefault="004951FC" w:rsidP="001E604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D6242B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у т. ч.</w:t>
            </w:r>
          </w:p>
        </w:tc>
        <w:tc>
          <w:tcPr>
            <w:tcW w:w="2120" w:type="dxa"/>
            <w:vAlign w:val="center"/>
          </w:tcPr>
          <w:p w:rsidR="004951FC" w:rsidRPr="00D6242B" w:rsidRDefault="009722E4" w:rsidP="001E604B">
            <w:pPr>
              <w:ind w:left="-77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15 000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4951FC" w:rsidRPr="00D6242B" w:rsidRDefault="00CA280B" w:rsidP="001E604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2</w:t>
            </w:r>
            <w:r w:rsidR="001C3439" w:rsidRPr="00D6242B">
              <w:rPr>
                <w:sz w:val="20"/>
                <w:szCs w:val="20"/>
                <w:lang w:val="uk-UA"/>
              </w:rPr>
              <w:t xml:space="preserve">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51FC" w:rsidRPr="00D6242B" w:rsidRDefault="00CA280B" w:rsidP="001E604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2</w:t>
            </w:r>
            <w:r w:rsidR="001C3439" w:rsidRPr="00D6242B">
              <w:rPr>
                <w:sz w:val="20"/>
                <w:szCs w:val="20"/>
                <w:lang w:val="uk-UA"/>
              </w:rPr>
              <w:t xml:space="preserve">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1FC" w:rsidRPr="00D6242B" w:rsidRDefault="009722E4" w:rsidP="001E604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2</w:t>
            </w:r>
            <w:r w:rsidR="001C3439" w:rsidRPr="00D6242B">
              <w:rPr>
                <w:sz w:val="20"/>
                <w:szCs w:val="20"/>
                <w:lang w:val="uk-UA"/>
              </w:rPr>
              <w:t xml:space="preserve"> 000</w:t>
            </w:r>
          </w:p>
        </w:tc>
        <w:tc>
          <w:tcPr>
            <w:tcW w:w="945" w:type="dxa"/>
            <w:vAlign w:val="center"/>
          </w:tcPr>
          <w:p w:rsidR="004951FC" w:rsidRPr="00D6242B" w:rsidRDefault="009722E4" w:rsidP="004951FC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3</w:t>
            </w:r>
            <w:r w:rsidR="001C3439" w:rsidRPr="00D6242B">
              <w:rPr>
                <w:sz w:val="20"/>
                <w:szCs w:val="20"/>
                <w:lang w:val="uk-UA"/>
              </w:rPr>
              <w:t xml:space="preserve"> 000</w:t>
            </w:r>
          </w:p>
        </w:tc>
        <w:tc>
          <w:tcPr>
            <w:tcW w:w="1039" w:type="dxa"/>
            <w:vAlign w:val="center"/>
          </w:tcPr>
          <w:p w:rsidR="004951FC" w:rsidRPr="00D6242B" w:rsidRDefault="004951FC" w:rsidP="001E604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3</w:t>
            </w:r>
            <w:r w:rsidR="001C3439" w:rsidRPr="00D6242B">
              <w:rPr>
                <w:sz w:val="20"/>
                <w:szCs w:val="20"/>
                <w:lang w:val="uk-UA"/>
              </w:rPr>
              <w:t xml:space="preserve"> 000</w:t>
            </w:r>
          </w:p>
        </w:tc>
        <w:tc>
          <w:tcPr>
            <w:tcW w:w="1192" w:type="dxa"/>
            <w:vAlign w:val="center"/>
          </w:tcPr>
          <w:p w:rsidR="004951FC" w:rsidRPr="00D6242B" w:rsidRDefault="009722E4" w:rsidP="004951FC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3</w:t>
            </w:r>
            <w:r w:rsidR="001C3439" w:rsidRPr="00D6242B">
              <w:rPr>
                <w:sz w:val="20"/>
                <w:szCs w:val="20"/>
                <w:lang w:val="uk-UA"/>
              </w:rPr>
              <w:t xml:space="preserve"> 000</w:t>
            </w:r>
          </w:p>
        </w:tc>
      </w:tr>
      <w:tr w:rsidR="00D6242B" w:rsidRPr="00D6242B" w:rsidTr="001C3439">
        <w:trPr>
          <w:trHeight w:val="343"/>
          <w:tblHeader/>
          <w:jc w:val="center"/>
        </w:trPr>
        <w:tc>
          <w:tcPr>
            <w:tcW w:w="2044" w:type="dxa"/>
            <w:vAlign w:val="center"/>
          </w:tcPr>
          <w:p w:rsidR="004951FC" w:rsidRPr="00D6242B" w:rsidRDefault="004951FC" w:rsidP="001E604B">
            <w:pPr>
              <w:pStyle w:val="a3"/>
              <w:ind w:left="22" w:right="-19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242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2120" w:type="dxa"/>
            <w:vAlign w:val="center"/>
          </w:tcPr>
          <w:p w:rsidR="004951FC" w:rsidRPr="00D6242B" w:rsidRDefault="004951FC" w:rsidP="001E604B">
            <w:pPr>
              <w:ind w:left="-77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51" w:type="dxa"/>
            <w:vAlign w:val="center"/>
          </w:tcPr>
          <w:p w:rsidR="004951FC" w:rsidRPr="00D6242B" w:rsidRDefault="001C3439" w:rsidP="001E604B">
            <w:pPr>
              <w:ind w:left="-77" w:right="-19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951FC" w:rsidRPr="00D6242B" w:rsidRDefault="001C3439" w:rsidP="001E604B">
            <w:pPr>
              <w:ind w:left="-77" w:right="-19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4951FC" w:rsidRPr="00D6242B" w:rsidRDefault="001C3439" w:rsidP="001E604B">
            <w:pPr>
              <w:ind w:left="-77" w:right="-19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45" w:type="dxa"/>
            <w:vAlign w:val="center"/>
          </w:tcPr>
          <w:p w:rsidR="004951FC" w:rsidRPr="00D6242B" w:rsidRDefault="001C3439" w:rsidP="001E604B">
            <w:pPr>
              <w:ind w:left="-77" w:right="-19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39" w:type="dxa"/>
            <w:vAlign w:val="center"/>
          </w:tcPr>
          <w:p w:rsidR="004951FC" w:rsidRPr="00D6242B" w:rsidRDefault="001C3439" w:rsidP="001E604B">
            <w:pPr>
              <w:ind w:left="-77" w:right="-19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92" w:type="dxa"/>
            <w:vAlign w:val="center"/>
          </w:tcPr>
          <w:p w:rsidR="004951FC" w:rsidRPr="00D6242B" w:rsidRDefault="001C3439" w:rsidP="001E604B">
            <w:pPr>
              <w:ind w:left="-77" w:right="-19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</w:tr>
      <w:tr w:rsidR="00D6242B" w:rsidRPr="00D6242B" w:rsidTr="001C3439">
        <w:trPr>
          <w:trHeight w:val="292"/>
          <w:tblHeader/>
          <w:jc w:val="center"/>
        </w:trPr>
        <w:tc>
          <w:tcPr>
            <w:tcW w:w="2044" w:type="dxa"/>
            <w:vAlign w:val="center"/>
          </w:tcPr>
          <w:p w:rsidR="004951FC" w:rsidRPr="00D6242B" w:rsidRDefault="004951FC" w:rsidP="001E604B">
            <w:pPr>
              <w:pStyle w:val="a5"/>
              <w:ind w:left="22" w:right="-19"/>
              <w:contextualSpacing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4951FC" w:rsidRPr="00D6242B" w:rsidRDefault="00BC0151" w:rsidP="001E604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51FC" w:rsidRPr="00D6242B" w:rsidRDefault="00BC0151" w:rsidP="00A13ADA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1FC" w:rsidRPr="00D6242B" w:rsidRDefault="00BC0151" w:rsidP="00A13ADA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45" w:type="dxa"/>
            <w:vAlign w:val="center"/>
          </w:tcPr>
          <w:p w:rsidR="004951FC" w:rsidRPr="00D6242B" w:rsidRDefault="00BC0151" w:rsidP="004951FC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39" w:type="dxa"/>
            <w:vAlign w:val="center"/>
          </w:tcPr>
          <w:p w:rsidR="004951FC" w:rsidRPr="00D6242B" w:rsidRDefault="00BC0151" w:rsidP="00A13ADA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92" w:type="dxa"/>
            <w:vAlign w:val="center"/>
          </w:tcPr>
          <w:p w:rsidR="004951FC" w:rsidRPr="00D6242B" w:rsidRDefault="00BC0151" w:rsidP="004951FC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-</w:t>
            </w:r>
          </w:p>
        </w:tc>
      </w:tr>
      <w:tr w:rsidR="00D6242B" w:rsidRPr="00D6242B" w:rsidTr="001C3439">
        <w:trPr>
          <w:trHeight w:val="410"/>
          <w:tblHeader/>
          <w:jc w:val="center"/>
        </w:trPr>
        <w:tc>
          <w:tcPr>
            <w:tcW w:w="2044" w:type="dxa"/>
            <w:vAlign w:val="center"/>
          </w:tcPr>
          <w:p w:rsidR="004951FC" w:rsidRPr="00D6242B" w:rsidRDefault="004951FC" w:rsidP="001E604B">
            <w:pPr>
              <w:ind w:left="22" w:right="-19"/>
              <w:contextualSpacing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Місцеві бюджети</w:t>
            </w:r>
          </w:p>
        </w:tc>
        <w:tc>
          <w:tcPr>
            <w:tcW w:w="2120" w:type="dxa"/>
            <w:vAlign w:val="center"/>
          </w:tcPr>
          <w:p w:rsidR="004951FC" w:rsidRPr="00D6242B" w:rsidRDefault="004951FC" w:rsidP="001E604B">
            <w:pPr>
              <w:ind w:left="-77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D6242B" w:rsidRPr="00D6242B" w:rsidTr="001C3439">
        <w:trPr>
          <w:trHeight w:val="273"/>
          <w:tblHeader/>
          <w:jc w:val="center"/>
        </w:trPr>
        <w:tc>
          <w:tcPr>
            <w:tcW w:w="2044" w:type="dxa"/>
            <w:vAlign w:val="center"/>
          </w:tcPr>
          <w:p w:rsidR="004951FC" w:rsidRPr="00D6242B" w:rsidRDefault="004951FC" w:rsidP="001E604B">
            <w:pPr>
              <w:ind w:left="22" w:right="-19"/>
              <w:contextualSpacing/>
              <w:rPr>
                <w:b/>
                <w:sz w:val="20"/>
                <w:szCs w:val="20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2120" w:type="dxa"/>
            <w:vAlign w:val="center"/>
          </w:tcPr>
          <w:p w:rsidR="004951FC" w:rsidRPr="00D6242B" w:rsidRDefault="004951FC" w:rsidP="001E604B">
            <w:pPr>
              <w:ind w:left="-77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4951FC" w:rsidRPr="00D6242B" w:rsidRDefault="004951FC" w:rsidP="001E604B">
            <w:pPr>
              <w:ind w:left="-77" w:right="-19"/>
              <w:contextualSpacing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D6242B" w:rsidRPr="00D6242B" w:rsidTr="00E71B26">
        <w:trPr>
          <w:trHeight w:val="420"/>
          <w:tblHeader/>
          <w:jc w:val="center"/>
        </w:trPr>
        <w:tc>
          <w:tcPr>
            <w:tcW w:w="2044" w:type="dxa"/>
            <w:vAlign w:val="center"/>
          </w:tcPr>
          <w:p w:rsidR="00D6242B" w:rsidRPr="00D6242B" w:rsidRDefault="00D6242B" w:rsidP="00D6242B">
            <w:pPr>
              <w:ind w:right="519"/>
              <w:contextualSpacing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D6242B">
              <w:rPr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120" w:type="dxa"/>
            <w:vAlign w:val="center"/>
          </w:tcPr>
          <w:p w:rsidR="00D6242B" w:rsidRPr="00D6242B" w:rsidRDefault="00D6242B" w:rsidP="00D6242B">
            <w:pPr>
              <w:ind w:left="-77"/>
              <w:contextualSpacing/>
              <w:rPr>
                <w:sz w:val="20"/>
                <w:szCs w:val="20"/>
                <w:highlight w:val="yellow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 xml:space="preserve">          15 000</w:t>
            </w:r>
          </w:p>
        </w:tc>
        <w:tc>
          <w:tcPr>
            <w:tcW w:w="651" w:type="dxa"/>
          </w:tcPr>
          <w:p w:rsidR="00D6242B" w:rsidRPr="00D6242B" w:rsidRDefault="00D6242B" w:rsidP="00D6242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2" w:type="dxa"/>
          </w:tcPr>
          <w:p w:rsidR="00D6242B" w:rsidRPr="00D6242B" w:rsidRDefault="00D6242B" w:rsidP="00D6242B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851" w:type="dxa"/>
          </w:tcPr>
          <w:p w:rsidR="00D6242B" w:rsidRPr="00D6242B" w:rsidRDefault="00D6242B" w:rsidP="00D6242B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945" w:type="dxa"/>
          </w:tcPr>
          <w:p w:rsidR="00D6242B" w:rsidRPr="00D6242B" w:rsidRDefault="00D6242B" w:rsidP="00D6242B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039" w:type="dxa"/>
          </w:tcPr>
          <w:p w:rsidR="00D6242B" w:rsidRPr="00D6242B" w:rsidRDefault="00D6242B" w:rsidP="00D6242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192" w:type="dxa"/>
          </w:tcPr>
          <w:p w:rsidR="00D6242B" w:rsidRPr="00D6242B" w:rsidRDefault="00D6242B" w:rsidP="00D6242B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D6242B">
              <w:rPr>
                <w:sz w:val="20"/>
                <w:szCs w:val="20"/>
                <w:lang w:val="uk-UA"/>
              </w:rPr>
              <w:t>3 000</w:t>
            </w:r>
          </w:p>
        </w:tc>
      </w:tr>
    </w:tbl>
    <w:p w:rsidR="00517F91" w:rsidRPr="00465546" w:rsidRDefault="00517F91" w:rsidP="00517F91">
      <w:pPr>
        <w:contextualSpacing/>
        <w:jc w:val="both"/>
        <w:rPr>
          <w:sz w:val="20"/>
          <w:szCs w:val="20"/>
          <w:lang w:val="uk-UA"/>
        </w:rPr>
      </w:pPr>
    </w:p>
    <w:p w:rsidR="00517F91" w:rsidRDefault="00CB0F3F" w:rsidP="00517F91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517F91" w:rsidRPr="00912B27">
        <w:rPr>
          <w:sz w:val="28"/>
          <w:szCs w:val="28"/>
          <w:lang w:val="uk-UA"/>
        </w:rPr>
        <w:t>. Очікувані кінцеві результати виконання цільової програми:</w:t>
      </w:r>
    </w:p>
    <w:p w:rsidR="00517F91" w:rsidRPr="00912B27" w:rsidRDefault="00517F91" w:rsidP="00517F91">
      <w:pPr>
        <w:ind w:firstLine="567"/>
        <w:contextualSpacing/>
        <w:jc w:val="both"/>
        <w:rPr>
          <w:sz w:val="28"/>
          <w:szCs w:val="28"/>
          <w:lang w:val="uk-UA"/>
        </w:rPr>
      </w:pPr>
    </w:p>
    <w:tbl>
      <w:tblPr>
        <w:tblW w:w="511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4"/>
        <w:gridCol w:w="3261"/>
        <w:gridCol w:w="852"/>
        <w:gridCol w:w="746"/>
        <w:gridCol w:w="726"/>
        <w:gridCol w:w="726"/>
        <w:gridCol w:w="725"/>
        <w:gridCol w:w="1621"/>
      </w:tblGrid>
      <w:tr w:rsidR="00517F91" w:rsidRPr="00465546" w:rsidTr="00E342B4">
        <w:tc>
          <w:tcPr>
            <w:tcW w:w="1097" w:type="dxa"/>
            <w:vMerge w:val="restart"/>
            <w:shd w:val="clear" w:color="auto" w:fill="auto"/>
            <w:vAlign w:val="center"/>
          </w:tcPr>
          <w:p w:rsidR="00517F91" w:rsidRPr="00465546" w:rsidRDefault="00517F91" w:rsidP="001E604B">
            <w:pPr>
              <w:ind w:left="-112" w:right="-108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Напрями показників Програми</w:t>
            </w:r>
          </w:p>
        </w:tc>
        <w:tc>
          <w:tcPr>
            <w:tcW w:w="3184" w:type="dxa"/>
            <w:vMerge w:val="restart"/>
            <w:shd w:val="clear" w:color="auto" w:fill="auto"/>
            <w:vAlign w:val="center"/>
          </w:tcPr>
          <w:p w:rsidR="00517F91" w:rsidRPr="00465546" w:rsidRDefault="00517F91" w:rsidP="001E604B">
            <w:pPr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Найменування показників Програми</w:t>
            </w:r>
          </w:p>
        </w:tc>
        <w:tc>
          <w:tcPr>
            <w:tcW w:w="832" w:type="dxa"/>
            <w:vMerge w:val="restart"/>
            <w:vAlign w:val="center"/>
          </w:tcPr>
          <w:p w:rsidR="00517F91" w:rsidRPr="00465546" w:rsidRDefault="00517F91" w:rsidP="001E604B">
            <w:pPr>
              <w:ind w:left="-104" w:right="-211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4437" w:type="dxa"/>
            <w:gridSpan w:val="5"/>
            <w:shd w:val="clear" w:color="auto" w:fill="auto"/>
            <w:vAlign w:val="center"/>
          </w:tcPr>
          <w:p w:rsidR="00517F91" w:rsidRPr="00465546" w:rsidRDefault="00517F91" w:rsidP="001E604B">
            <w:pPr>
              <w:ind w:left="120" w:right="5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Значення показників</w:t>
            </w:r>
          </w:p>
        </w:tc>
      </w:tr>
      <w:tr w:rsidR="00517F91" w:rsidRPr="00465546" w:rsidTr="00E342B4">
        <w:tc>
          <w:tcPr>
            <w:tcW w:w="1097" w:type="dxa"/>
            <w:vMerge/>
            <w:shd w:val="clear" w:color="auto" w:fill="auto"/>
            <w:vAlign w:val="center"/>
          </w:tcPr>
          <w:p w:rsidR="00517F91" w:rsidRPr="00465546" w:rsidRDefault="00517F91" w:rsidP="001E604B">
            <w:pPr>
              <w:ind w:right="5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  <w:vMerge/>
            <w:shd w:val="clear" w:color="auto" w:fill="auto"/>
            <w:vAlign w:val="center"/>
          </w:tcPr>
          <w:p w:rsidR="00517F91" w:rsidRPr="00465546" w:rsidRDefault="00517F91" w:rsidP="001E604B">
            <w:pPr>
              <w:ind w:left="120" w:right="5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2" w:type="dxa"/>
            <w:vMerge/>
          </w:tcPr>
          <w:p w:rsidR="00517F91" w:rsidRPr="00465546" w:rsidRDefault="00517F91" w:rsidP="001E604B">
            <w:pPr>
              <w:ind w:left="-248" w:right="-211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:rsidR="00517F91" w:rsidRPr="00465546" w:rsidRDefault="00517F91" w:rsidP="001E604B">
            <w:pPr>
              <w:ind w:left="-108" w:right="-108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709" w:type="dxa"/>
            <w:gridSpan w:val="4"/>
            <w:shd w:val="clear" w:color="auto" w:fill="auto"/>
            <w:vAlign w:val="center"/>
          </w:tcPr>
          <w:p w:rsidR="00517F91" w:rsidRPr="00465546" w:rsidRDefault="00517F91" w:rsidP="001E604B">
            <w:pPr>
              <w:ind w:left="-9" w:right="6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517F91" w:rsidRPr="00465546" w:rsidTr="00E342B4">
        <w:trPr>
          <w:trHeight w:val="248"/>
        </w:trPr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F91" w:rsidRPr="00465546" w:rsidRDefault="00517F91" w:rsidP="001E604B">
            <w:pPr>
              <w:ind w:right="5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  <w:vMerge/>
            <w:shd w:val="clear" w:color="auto" w:fill="auto"/>
            <w:vAlign w:val="center"/>
          </w:tcPr>
          <w:p w:rsidR="00517F91" w:rsidRPr="00465546" w:rsidRDefault="00517F91" w:rsidP="001E604B">
            <w:pPr>
              <w:ind w:left="120" w:right="519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2" w:type="dxa"/>
            <w:vMerge/>
          </w:tcPr>
          <w:p w:rsidR="00517F91" w:rsidRPr="00465546" w:rsidRDefault="00517F91" w:rsidP="001E604B">
            <w:pPr>
              <w:ind w:left="-248" w:right="-211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517F91" w:rsidRPr="00465546" w:rsidRDefault="00517F91" w:rsidP="001E604B">
            <w:pPr>
              <w:ind w:left="-9" w:right="6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7F91" w:rsidRPr="00465546" w:rsidRDefault="00517F91" w:rsidP="001E604B">
            <w:pPr>
              <w:ind w:left="-11" w:right="6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202</w:t>
            </w:r>
            <w:r w:rsidR="00E342B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7F91" w:rsidRPr="00465546" w:rsidRDefault="00517F91" w:rsidP="001E604B">
            <w:pPr>
              <w:ind w:left="-9" w:right="6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202</w:t>
            </w:r>
            <w:r w:rsidR="00E342B4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7F91" w:rsidRPr="00465546" w:rsidRDefault="00517F91" w:rsidP="001E604B">
            <w:pPr>
              <w:ind w:left="-9" w:right="6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202</w:t>
            </w:r>
            <w:r w:rsidR="00E342B4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517F91" w:rsidRPr="00465546" w:rsidRDefault="00517F91" w:rsidP="001E604B">
            <w:pPr>
              <w:ind w:left="-9" w:right="6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465546">
              <w:rPr>
                <w:b/>
                <w:sz w:val="20"/>
                <w:szCs w:val="20"/>
                <w:lang w:val="uk-UA"/>
              </w:rPr>
              <w:t>202</w:t>
            </w:r>
            <w:r w:rsidR="00B7301D">
              <w:rPr>
                <w:b/>
                <w:sz w:val="20"/>
                <w:szCs w:val="20"/>
                <w:lang w:val="uk-UA"/>
              </w:rPr>
              <w:t>8</w:t>
            </w:r>
            <w:r w:rsidRPr="00465546">
              <w:rPr>
                <w:b/>
                <w:sz w:val="20"/>
                <w:szCs w:val="20"/>
                <w:lang w:val="uk-UA"/>
              </w:rPr>
              <w:t xml:space="preserve"> – 2030</w:t>
            </w:r>
          </w:p>
        </w:tc>
      </w:tr>
      <w:tr w:rsidR="00F0368A" w:rsidRPr="00F0368A" w:rsidTr="00E342B4">
        <w:trPr>
          <w:trHeight w:val="575"/>
        </w:trPr>
        <w:tc>
          <w:tcPr>
            <w:tcW w:w="1097" w:type="dxa"/>
            <w:vMerge w:val="restart"/>
            <w:shd w:val="clear" w:color="auto" w:fill="auto"/>
          </w:tcPr>
          <w:p w:rsidR="00517F91" w:rsidRPr="00F0368A" w:rsidRDefault="00517F91" w:rsidP="001E604B">
            <w:pPr>
              <w:ind w:right="-108"/>
              <w:contextualSpacing/>
              <w:rPr>
                <w:b/>
                <w:color w:val="FF0000"/>
                <w:sz w:val="20"/>
                <w:szCs w:val="20"/>
                <w:lang w:val="uk-UA"/>
              </w:rPr>
            </w:pPr>
            <w:r w:rsidRPr="009F6705">
              <w:rPr>
                <w:sz w:val="20"/>
                <w:szCs w:val="20"/>
                <w:lang w:val="uk-UA"/>
              </w:rPr>
              <w:t>Соціальні</w:t>
            </w:r>
          </w:p>
        </w:tc>
        <w:tc>
          <w:tcPr>
            <w:tcW w:w="3184" w:type="dxa"/>
            <w:shd w:val="clear" w:color="auto" w:fill="auto"/>
          </w:tcPr>
          <w:p w:rsidR="00517F91" w:rsidRPr="00C82C40" w:rsidRDefault="00517F91" w:rsidP="001E604B">
            <w:pPr>
              <w:rPr>
                <w:sz w:val="20"/>
                <w:szCs w:val="20"/>
                <w:lang w:val="uk-UA"/>
              </w:rPr>
            </w:pPr>
            <w:r w:rsidRPr="00C82C40">
              <w:rPr>
                <w:sz w:val="20"/>
                <w:szCs w:val="20"/>
                <w:lang w:val="uk-UA"/>
              </w:rPr>
              <w:t>Кількість п</w:t>
            </w:r>
            <w:r w:rsidRPr="00C82C40">
              <w:rPr>
                <w:spacing w:val="-6"/>
                <w:sz w:val="20"/>
                <w:szCs w:val="20"/>
                <w:lang w:val="uk-UA" w:eastAsia="uk-UA"/>
              </w:rPr>
              <w:t>роведених заходів з питань державної мовної політики</w:t>
            </w:r>
          </w:p>
        </w:tc>
        <w:tc>
          <w:tcPr>
            <w:tcW w:w="832" w:type="dxa"/>
          </w:tcPr>
          <w:p w:rsidR="00517F91" w:rsidRPr="00C82C40" w:rsidRDefault="00517F91" w:rsidP="001E60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82C40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  <w:shd w:val="clear" w:color="auto" w:fill="auto"/>
          </w:tcPr>
          <w:p w:rsidR="00517F91" w:rsidRPr="00C82C40" w:rsidRDefault="00B7301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C82C40" w:rsidRDefault="00B7301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17F91" w:rsidRPr="00C82C40" w:rsidRDefault="00B7301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:rsidR="00517F91" w:rsidRPr="00C82C40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C82C40" w:rsidRDefault="00B7301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3</w:t>
            </w:r>
          </w:p>
        </w:tc>
      </w:tr>
      <w:tr w:rsidR="00F0368A" w:rsidRPr="00F0368A" w:rsidTr="00E342B4">
        <w:trPr>
          <w:trHeight w:val="695"/>
        </w:trPr>
        <w:tc>
          <w:tcPr>
            <w:tcW w:w="1097" w:type="dxa"/>
            <w:vMerge/>
            <w:shd w:val="clear" w:color="auto" w:fill="auto"/>
          </w:tcPr>
          <w:p w:rsidR="00517F91" w:rsidRPr="00F0368A" w:rsidRDefault="00517F91" w:rsidP="001E604B">
            <w:pPr>
              <w:ind w:right="519"/>
              <w:contextualSpacing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  <w:shd w:val="clear" w:color="auto" w:fill="auto"/>
          </w:tcPr>
          <w:p w:rsidR="00517F91" w:rsidRPr="00C82C40" w:rsidRDefault="00517F91" w:rsidP="001E604B">
            <w:pPr>
              <w:rPr>
                <w:sz w:val="20"/>
                <w:szCs w:val="20"/>
                <w:lang w:val="uk-UA"/>
              </w:rPr>
            </w:pPr>
            <w:r w:rsidRPr="00C82C40">
              <w:rPr>
                <w:sz w:val="20"/>
                <w:szCs w:val="20"/>
                <w:lang w:val="uk-UA"/>
              </w:rPr>
              <w:t xml:space="preserve">Кількість проведених зустрічей  із сучасними українськими письменниками </w:t>
            </w:r>
          </w:p>
        </w:tc>
        <w:tc>
          <w:tcPr>
            <w:tcW w:w="832" w:type="dxa"/>
          </w:tcPr>
          <w:p w:rsidR="00517F91" w:rsidRPr="00C82C40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C82C40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  <w:shd w:val="clear" w:color="auto" w:fill="auto"/>
          </w:tcPr>
          <w:p w:rsidR="00517F91" w:rsidRPr="00C82C40" w:rsidRDefault="00C82C40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C82C40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17F91" w:rsidRPr="00C82C40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:rsidR="00517F91" w:rsidRPr="00C82C40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C82C40" w:rsidRDefault="00C82C40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2C40">
              <w:rPr>
                <w:bCs/>
                <w:sz w:val="20"/>
                <w:szCs w:val="20"/>
                <w:lang w:val="uk-UA"/>
              </w:rPr>
              <w:t>3</w:t>
            </w:r>
          </w:p>
        </w:tc>
      </w:tr>
      <w:tr w:rsidR="00F0368A" w:rsidRPr="00F0368A" w:rsidTr="00E342B4">
        <w:trPr>
          <w:trHeight w:val="551"/>
        </w:trPr>
        <w:tc>
          <w:tcPr>
            <w:tcW w:w="1097" w:type="dxa"/>
            <w:vMerge/>
            <w:shd w:val="clear" w:color="auto" w:fill="auto"/>
          </w:tcPr>
          <w:p w:rsidR="00517F91" w:rsidRPr="00F0368A" w:rsidRDefault="00517F91" w:rsidP="001E604B">
            <w:pPr>
              <w:ind w:right="12"/>
              <w:contextualSpacing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A97C22" w:rsidRDefault="00517F91" w:rsidP="001E604B">
            <w:pPr>
              <w:rPr>
                <w:sz w:val="20"/>
                <w:szCs w:val="20"/>
                <w:lang w:val="uk-UA"/>
              </w:rPr>
            </w:pPr>
            <w:r w:rsidRPr="00A97C22">
              <w:rPr>
                <w:sz w:val="20"/>
                <w:szCs w:val="20"/>
                <w:lang w:val="uk-UA"/>
              </w:rPr>
              <w:t>Кількість заходів за ініціативою або участю громадських організацій, національно-культурних товариств, творчих спілок області</w:t>
            </w:r>
          </w:p>
        </w:tc>
        <w:tc>
          <w:tcPr>
            <w:tcW w:w="832" w:type="dxa"/>
          </w:tcPr>
          <w:p w:rsidR="00517F91" w:rsidRPr="00A97C22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A97C2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A97C22" w:rsidRDefault="00A97C22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A97C22" w:rsidRDefault="00A97C22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17F91" w:rsidRPr="00A97C22" w:rsidRDefault="00A97C22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:rsidR="00517F91" w:rsidRPr="00A97C22" w:rsidRDefault="00A97C22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A97C22" w:rsidRDefault="00A97C22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</w:p>
        </w:tc>
      </w:tr>
      <w:tr w:rsidR="00F0368A" w:rsidRPr="00F0368A" w:rsidTr="00E342B4">
        <w:trPr>
          <w:trHeight w:val="954"/>
        </w:trPr>
        <w:tc>
          <w:tcPr>
            <w:tcW w:w="1097" w:type="dxa"/>
            <w:vMerge/>
            <w:shd w:val="clear" w:color="auto" w:fill="auto"/>
          </w:tcPr>
          <w:p w:rsidR="00517F91" w:rsidRPr="00F0368A" w:rsidRDefault="00517F91" w:rsidP="001E604B">
            <w:pPr>
              <w:ind w:right="12"/>
              <w:contextualSpacing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BC1842" w:rsidRDefault="00517F91" w:rsidP="001E604B">
            <w:pPr>
              <w:rPr>
                <w:sz w:val="20"/>
                <w:szCs w:val="20"/>
                <w:lang w:val="uk-UA"/>
              </w:rPr>
            </w:pPr>
            <w:r w:rsidRPr="00BC1842">
              <w:rPr>
                <w:sz w:val="20"/>
                <w:szCs w:val="20"/>
                <w:lang w:val="uk-UA"/>
              </w:rPr>
              <w:t>Кількість  створених аудіо- та/або відео</w:t>
            </w:r>
            <w:r w:rsidR="009F6705">
              <w:rPr>
                <w:sz w:val="20"/>
                <w:szCs w:val="20"/>
                <w:lang w:val="uk-UA"/>
              </w:rPr>
              <w:t>-</w:t>
            </w:r>
            <w:r w:rsidRPr="00BC1842">
              <w:rPr>
                <w:sz w:val="20"/>
                <w:szCs w:val="20"/>
                <w:lang w:val="uk-UA"/>
              </w:rPr>
              <w:t>про</w:t>
            </w:r>
            <w:r w:rsidR="000F5787">
              <w:rPr>
                <w:sz w:val="20"/>
                <w:szCs w:val="20"/>
                <w:lang w:val="uk-UA"/>
              </w:rPr>
              <w:t>е</w:t>
            </w:r>
            <w:r w:rsidRPr="00BC1842">
              <w:rPr>
                <w:sz w:val="20"/>
                <w:szCs w:val="20"/>
                <w:lang w:val="uk-UA"/>
              </w:rPr>
              <w:t>ктів, спрямованих на сприйняття української мови серед населення</w:t>
            </w:r>
          </w:p>
        </w:tc>
        <w:tc>
          <w:tcPr>
            <w:tcW w:w="832" w:type="dxa"/>
          </w:tcPr>
          <w:p w:rsidR="00517F91" w:rsidRPr="00BC1842" w:rsidRDefault="00517F91" w:rsidP="001E60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C184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BC1842" w:rsidRDefault="00BC1842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1842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517F91" w:rsidRPr="00BC1842" w:rsidRDefault="007E3A8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1842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517F91" w:rsidRPr="00BC1842" w:rsidRDefault="007E3A8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1842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</w:tcPr>
          <w:p w:rsidR="00517F91" w:rsidRPr="00BC1842" w:rsidRDefault="007E3A8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1842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BC1842" w:rsidRDefault="00BC1842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1842">
              <w:rPr>
                <w:bCs/>
                <w:sz w:val="20"/>
                <w:szCs w:val="20"/>
                <w:lang w:val="uk-UA"/>
              </w:rPr>
              <w:t>15</w:t>
            </w:r>
          </w:p>
        </w:tc>
      </w:tr>
      <w:tr w:rsidR="00F0368A" w:rsidRPr="00F0368A" w:rsidTr="00E342B4">
        <w:trPr>
          <w:trHeight w:val="615"/>
        </w:trPr>
        <w:tc>
          <w:tcPr>
            <w:tcW w:w="1097" w:type="dxa"/>
            <w:vMerge/>
            <w:shd w:val="clear" w:color="auto" w:fill="auto"/>
          </w:tcPr>
          <w:p w:rsidR="00517F91" w:rsidRPr="00F0368A" w:rsidRDefault="00517F91" w:rsidP="001E604B">
            <w:pPr>
              <w:ind w:right="519"/>
              <w:contextualSpacing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2040AD" w:rsidRDefault="00517F91" w:rsidP="001E604B">
            <w:pPr>
              <w:rPr>
                <w:sz w:val="20"/>
                <w:szCs w:val="20"/>
                <w:lang w:val="uk-UA"/>
              </w:rPr>
            </w:pPr>
            <w:r w:rsidRPr="002040AD">
              <w:rPr>
                <w:sz w:val="20"/>
                <w:szCs w:val="20"/>
                <w:lang w:val="uk-UA"/>
              </w:rPr>
              <w:t>Кількість проведених заходів у сфері національно-патріотичного виховання</w:t>
            </w:r>
          </w:p>
        </w:tc>
        <w:tc>
          <w:tcPr>
            <w:tcW w:w="832" w:type="dxa"/>
          </w:tcPr>
          <w:p w:rsidR="00517F91" w:rsidRPr="002040AD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2040AD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2040AD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040AD">
              <w:rPr>
                <w:bCs/>
                <w:sz w:val="20"/>
                <w:szCs w:val="20"/>
                <w:lang w:val="uk-UA"/>
              </w:rPr>
              <w:t>3</w:t>
            </w:r>
            <w:r w:rsidR="002040AD" w:rsidRPr="002040AD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2040AD" w:rsidRDefault="002040A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040AD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2040AD" w:rsidRDefault="002040A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040AD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</w:tcPr>
          <w:p w:rsidR="00517F91" w:rsidRPr="002040AD" w:rsidRDefault="002040A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040AD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2040AD" w:rsidRDefault="002040A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040AD">
              <w:rPr>
                <w:bCs/>
                <w:sz w:val="20"/>
                <w:szCs w:val="20"/>
                <w:lang w:val="uk-UA"/>
              </w:rPr>
              <w:t>18</w:t>
            </w:r>
          </w:p>
        </w:tc>
      </w:tr>
      <w:tr w:rsidR="00F0368A" w:rsidRPr="00F0368A" w:rsidTr="00E342B4">
        <w:trPr>
          <w:trHeight w:val="559"/>
        </w:trPr>
        <w:tc>
          <w:tcPr>
            <w:tcW w:w="1097" w:type="dxa"/>
            <w:vMerge/>
            <w:shd w:val="clear" w:color="auto" w:fill="auto"/>
          </w:tcPr>
          <w:p w:rsidR="00517F91" w:rsidRPr="00F0368A" w:rsidRDefault="00517F91" w:rsidP="001E604B">
            <w:pPr>
              <w:ind w:right="519"/>
              <w:contextualSpacing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D67530" w:rsidRDefault="00517F91" w:rsidP="001E604B">
            <w:pPr>
              <w:rPr>
                <w:sz w:val="20"/>
                <w:szCs w:val="20"/>
                <w:lang w:val="uk-UA"/>
              </w:rPr>
            </w:pPr>
            <w:r w:rsidRPr="00D67530">
              <w:rPr>
                <w:sz w:val="20"/>
                <w:szCs w:val="20"/>
                <w:lang w:val="uk-UA"/>
              </w:rPr>
              <w:t xml:space="preserve">Кількість проведених показів </w:t>
            </w:r>
            <w:r w:rsidR="005D5F74" w:rsidRPr="00D67530">
              <w:rPr>
                <w:sz w:val="20"/>
                <w:szCs w:val="20"/>
                <w:lang w:val="uk-UA"/>
              </w:rPr>
              <w:t xml:space="preserve">уривків </w:t>
            </w:r>
            <w:r w:rsidRPr="00D67530">
              <w:rPr>
                <w:sz w:val="20"/>
                <w:szCs w:val="20"/>
                <w:lang w:val="uk-UA"/>
              </w:rPr>
              <w:t xml:space="preserve">українського патріотичного кіно </w:t>
            </w:r>
            <w:r w:rsidR="005D5F74" w:rsidRPr="00D67530">
              <w:rPr>
                <w:sz w:val="20"/>
                <w:szCs w:val="20"/>
                <w:lang w:val="uk-UA"/>
              </w:rPr>
              <w:t>для учнів закладів освіти</w:t>
            </w:r>
          </w:p>
        </w:tc>
        <w:tc>
          <w:tcPr>
            <w:tcW w:w="832" w:type="dxa"/>
          </w:tcPr>
          <w:p w:rsidR="00517F91" w:rsidRPr="00D67530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D67530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D67530" w:rsidRDefault="005D5F74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7530">
              <w:rPr>
                <w:bCs/>
                <w:sz w:val="20"/>
                <w:szCs w:val="20"/>
                <w:lang w:val="uk-UA"/>
              </w:rPr>
              <w:t>36</w:t>
            </w:r>
          </w:p>
        </w:tc>
        <w:tc>
          <w:tcPr>
            <w:tcW w:w="709" w:type="dxa"/>
          </w:tcPr>
          <w:p w:rsidR="00517F91" w:rsidRPr="00D67530" w:rsidRDefault="005D5F74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7530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D67530" w:rsidRDefault="005D5F74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7530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</w:tcPr>
          <w:p w:rsidR="00517F91" w:rsidRPr="00D67530" w:rsidRDefault="005D5F74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7530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D67530" w:rsidRDefault="005D5F74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7530">
              <w:rPr>
                <w:bCs/>
                <w:sz w:val="20"/>
                <w:szCs w:val="20"/>
                <w:lang w:val="uk-UA"/>
              </w:rPr>
              <w:t>18</w:t>
            </w:r>
          </w:p>
        </w:tc>
      </w:tr>
      <w:tr w:rsidR="00F0368A" w:rsidRPr="00F0368A" w:rsidTr="00E342B4">
        <w:trPr>
          <w:trHeight w:val="713"/>
        </w:trPr>
        <w:tc>
          <w:tcPr>
            <w:tcW w:w="1097" w:type="dxa"/>
            <w:vMerge/>
            <w:shd w:val="clear" w:color="auto" w:fill="auto"/>
          </w:tcPr>
          <w:p w:rsidR="00517F91" w:rsidRPr="00F0368A" w:rsidRDefault="00517F91" w:rsidP="001E604B">
            <w:pPr>
              <w:ind w:right="519"/>
              <w:contextualSpacing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944A61" w:rsidRDefault="00517F91" w:rsidP="001E604B">
            <w:pPr>
              <w:rPr>
                <w:sz w:val="20"/>
                <w:szCs w:val="20"/>
                <w:lang w:val="uk-UA"/>
              </w:rPr>
            </w:pPr>
            <w:r w:rsidRPr="00944A61">
              <w:rPr>
                <w:sz w:val="20"/>
                <w:szCs w:val="20"/>
                <w:lang w:val="uk-UA"/>
              </w:rPr>
              <w:t xml:space="preserve">Кількість проведених  культурно-масових заходів національної патріотичної тематики </w:t>
            </w:r>
          </w:p>
        </w:tc>
        <w:tc>
          <w:tcPr>
            <w:tcW w:w="832" w:type="dxa"/>
          </w:tcPr>
          <w:p w:rsidR="00517F91" w:rsidRPr="00944A61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944A61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944A61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44A61">
              <w:rPr>
                <w:bCs/>
                <w:sz w:val="20"/>
                <w:szCs w:val="20"/>
                <w:lang w:val="uk-UA"/>
              </w:rPr>
              <w:t>1</w:t>
            </w:r>
            <w:r w:rsidR="00944A61" w:rsidRPr="00944A61"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517F91" w:rsidRPr="00944A61" w:rsidRDefault="00D67530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44A61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:rsidR="00517F91" w:rsidRPr="00944A61" w:rsidRDefault="00D67530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44A61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517F91" w:rsidRPr="00944A61" w:rsidRDefault="00D67530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44A61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944A61" w:rsidRDefault="00944A6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44A61">
              <w:rPr>
                <w:bCs/>
                <w:sz w:val="20"/>
                <w:szCs w:val="20"/>
                <w:lang w:val="uk-UA"/>
              </w:rPr>
              <w:t>9</w:t>
            </w:r>
          </w:p>
        </w:tc>
      </w:tr>
      <w:tr w:rsidR="00517F91" w:rsidRPr="00465546" w:rsidTr="00E342B4">
        <w:trPr>
          <w:trHeight w:val="934"/>
        </w:trPr>
        <w:tc>
          <w:tcPr>
            <w:tcW w:w="1097" w:type="dxa"/>
            <w:vMerge/>
            <w:shd w:val="clear" w:color="auto" w:fill="auto"/>
          </w:tcPr>
          <w:p w:rsidR="00517F91" w:rsidRPr="00465546" w:rsidRDefault="00517F91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AD495A" w:rsidRDefault="00517F91" w:rsidP="001E604B">
            <w:pPr>
              <w:rPr>
                <w:sz w:val="20"/>
                <w:szCs w:val="20"/>
                <w:lang w:val="uk-UA"/>
              </w:rPr>
            </w:pPr>
            <w:r w:rsidRPr="00AD495A">
              <w:rPr>
                <w:sz w:val="20"/>
                <w:szCs w:val="20"/>
                <w:lang w:val="uk-UA"/>
              </w:rPr>
              <w:t xml:space="preserve">Кількість проведених  онлайн-курсів у бібліотеках та </w:t>
            </w:r>
            <w:r w:rsidR="00BB0DBC" w:rsidRPr="00AD495A">
              <w:rPr>
                <w:sz w:val="20"/>
                <w:szCs w:val="20"/>
                <w:lang w:val="uk-UA"/>
              </w:rPr>
              <w:t xml:space="preserve">будинках культури </w:t>
            </w:r>
            <w:r w:rsidR="00BE74D4">
              <w:rPr>
                <w:sz w:val="20"/>
                <w:szCs w:val="20"/>
                <w:lang w:val="uk-UA"/>
              </w:rPr>
              <w:t>(</w:t>
            </w:r>
            <w:r w:rsidR="00BB0DBC" w:rsidRPr="00AD495A">
              <w:rPr>
                <w:sz w:val="20"/>
                <w:szCs w:val="20"/>
                <w:lang w:val="uk-UA"/>
              </w:rPr>
              <w:t>сільських клубах)</w:t>
            </w:r>
            <w:r w:rsidRPr="00AD495A">
              <w:rPr>
                <w:sz w:val="20"/>
                <w:szCs w:val="20"/>
                <w:lang w:val="uk-UA"/>
              </w:rPr>
              <w:t xml:space="preserve">  громад</w:t>
            </w:r>
            <w:r w:rsidR="00944A61" w:rsidRPr="00AD495A">
              <w:rPr>
                <w:sz w:val="20"/>
                <w:szCs w:val="20"/>
                <w:lang w:val="uk-UA"/>
              </w:rPr>
              <w:t>и</w:t>
            </w:r>
            <w:r w:rsidRPr="00AD495A">
              <w:rPr>
                <w:sz w:val="20"/>
                <w:szCs w:val="20"/>
                <w:lang w:val="uk-UA"/>
              </w:rPr>
              <w:t xml:space="preserve">  з української мови </w:t>
            </w:r>
          </w:p>
        </w:tc>
        <w:tc>
          <w:tcPr>
            <w:tcW w:w="832" w:type="dxa"/>
          </w:tcPr>
          <w:p w:rsidR="00517F91" w:rsidRPr="00AD495A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AD495A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AD495A" w:rsidRDefault="00AD495A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D495A">
              <w:rPr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709" w:type="dxa"/>
          </w:tcPr>
          <w:p w:rsidR="00517F91" w:rsidRPr="00AD495A" w:rsidRDefault="00BB0DBC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D495A">
              <w:rPr>
                <w:bCs/>
                <w:sz w:val="20"/>
                <w:szCs w:val="20"/>
                <w:lang w:val="uk-UA"/>
              </w:rPr>
              <w:t>1</w:t>
            </w:r>
            <w:r w:rsidR="00AD495A" w:rsidRPr="00AD495A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517F91" w:rsidRPr="00AD495A" w:rsidRDefault="00AD495A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D495A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</w:tcPr>
          <w:p w:rsidR="00517F91" w:rsidRPr="00AD495A" w:rsidRDefault="00AD495A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D495A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AD495A" w:rsidRDefault="00AD495A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D495A">
              <w:rPr>
                <w:bCs/>
                <w:sz w:val="20"/>
                <w:szCs w:val="20"/>
                <w:lang w:val="uk-UA"/>
              </w:rPr>
              <w:t>30</w:t>
            </w:r>
          </w:p>
        </w:tc>
      </w:tr>
      <w:tr w:rsidR="00517F91" w:rsidRPr="00465546" w:rsidTr="00E342B4">
        <w:trPr>
          <w:trHeight w:val="418"/>
        </w:trPr>
        <w:tc>
          <w:tcPr>
            <w:tcW w:w="1097" w:type="dxa"/>
            <w:vMerge/>
            <w:shd w:val="clear" w:color="auto" w:fill="auto"/>
          </w:tcPr>
          <w:p w:rsidR="00517F91" w:rsidRPr="00465546" w:rsidRDefault="00517F91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1A4AF5" w:rsidRDefault="00517F91" w:rsidP="001E604B">
            <w:pPr>
              <w:rPr>
                <w:sz w:val="20"/>
                <w:szCs w:val="20"/>
                <w:lang w:val="uk-UA"/>
              </w:rPr>
            </w:pPr>
            <w:r w:rsidRPr="001A4AF5">
              <w:rPr>
                <w:sz w:val="20"/>
                <w:szCs w:val="20"/>
                <w:lang w:val="uk-UA"/>
              </w:rPr>
              <w:t xml:space="preserve">Відсоток забезпеченості закладів освіти бібліотечними фондами українською мовою </w:t>
            </w:r>
          </w:p>
        </w:tc>
        <w:tc>
          <w:tcPr>
            <w:tcW w:w="832" w:type="dxa"/>
          </w:tcPr>
          <w:p w:rsidR="00517F91" w:rsidRPr="001A4AF5" w:rsidRDefault="00517F91" w:rsidP="001E60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4AF5">
              <w:rPr>
                <w:sz w:val="20"/>
                <w:szCs w:val="20"/>
                <w:lang w:val="uk-UA"/>
              </w:rPr>
              <w:t>% до біб. фондів</w:t>
            </w:r>
          </w:p>
        </w:tc>
        <w:tc>
          <w:tcPr>
            <w:tcW w:w="728" w:type="dxa"/>
          </w:tcPr>
          <w:p w:rsidR="00517F91" w:rsidRPr="001A4AF5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A4AF5">
              <w:rPr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09" w:type="dxa"/>
          </w:tcPr>
          <w:p w:rsidR="00517F91" w:rsidRPr="001A4AF5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A4AF5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517F91" w:rsidRPr="001A4AF5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A4AF5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</w:tcPr>
          <w:p w:rsidR="00517F91" w:rsidRPr="001A4AF5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A4AF5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1A4AF5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A4AF5">
              <w:rPr>
                <w:bCs/>
                <w:sz w:val="20"/>
                <w:szCs w:val="20"/>
                <w:lang w:val="uk-UA"/>
              </w:rPr>
              <w:t>20</w:t>
            </w:r>
          </w:p>
        </w:tc>
      </w:tr>
      <w:tr w:rsidR="00517F91" w:rsidRPr="00465546" w:rsidTr="00E342B4">
        <w:trPr>
          <w:trHeight w:val="258"/>
        </w:trPr>
        <w:tc>
          <w:tcPr>
            <w:tcW w:w="1097" w:type="dxa"/>
            <w:vMerge/>
            <w:shd w:val="clear" w:color="auto" w:fill="auto"/>
          </w:tcPr>
          <w:p w:rsidR="00517F91" w:rsidRPr="00465546" w:rsidRDefault="00517F91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A05320" w:rsidRDefault="00517F91" w:rsidP="001E604B">
            <w:pPr>
              <w:rPr>
                <w:sz w:val="20"/>
                <w:szCs w:val="20"/>
                <w:lang w:val="uk-UA"/>
              </w:rPr>
            </w:pPr>
            <w:r w:rsidRPr="00A05320">
              <w:rPr>
                <w:sz w:val="20"/>
                <w:szCs w:val="20"/>
                <w:lang w:val="uk-UA"/>
              </w:rPr>
              <w:t xml:space="preserve">Відсоток забезпеченості бібліотек </w:t>
            </w:r>
            <w:r w:rsidR="001A4AF5" w:rsidRPr="00A05320">
              <w:rPr>
                <w:sz w:val="20"/>
                <w:szCs w:val="20"/>
                <w:lang w:val="uk-UA"/>
              </w:rPr>
              <w:t>громади</w:t>
            </w:r>
            <w:r w:rsidRPr="00A05320">
              <w:rPr>
                <w:sz w:val="20"/>
                <w:szCs w:val="20"/>
                <w:lang w:val="uk-UA"/>
              </w:rPr>
              <w:t xml:space="preserve"> словниками українською мовою </w:t>
            </w:r>
          </w:p>
        </w:tc>
        <w:tc>
          <w:tcPr>
            <w:tcW w:w="832" w:type="dxa"/>
          </w:tcPr>
          <w:p w:rsidR="00517F91" w:rsidRPr="00A05320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A05320">
              <w:rPr>
                <w:sz w:val="20"/>
                <w:szCs w:val="20"/>
                <w:lang w:val="uk-UA"/>
              </w:rPr>
              <w:t>% до біб. фондів</w:t>
            </w:r>
          </w:p>
        </w:tc>
        <w:tc>
          <w:tcPr>
            <w:tcW w:w="728" w:type="dxa"/>
          </w:tcPr>
          <w:p w:rsidR="00517F91" w:rsidRPr="00A05320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5320">
              <w:rPr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09" w:type="dxa"/>
          </w:tcPr>
          <w:p w:rsidR="00517F91" w:rsidRPr="00A05320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5320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517F91" w:rsidRPr="00A05320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5320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</w:tcPr>
          <w:p w:rsidR="00517F91" w:rsidRPr="00A05320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5320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A05320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5320">
              <w:rPr>
                <w:bCs/>
                <w:sz w:val="20"/>
                <w:szCs w:val="20"/>
                <w:lang w:val="uk-UA"/>
              </w:rPr>
              <w:t>20</w:t>
            </w:r>
          </w:p>
        </w:tc>
      </w:tr>
      <w:tr w:rsidR="00517F91" w:rsidRPr="00465546" w:rsidTr="00E342B4">
        <w:trPr>
          <w:trHeight w:val="418"/>
        </w:trPr>
        <w:tc>
          <w:tcPr>
            <w:tcW w:w="1097" w:type="dxa"/>
            <w:vMerge/>
            <w:shd w:val="clear" w:color="auto" w:fill="auto"/>
          </w:tcPr>
          <w:p w:rsidR="00517F91" w:rsidRPr="00465546" w:rsidRDefault="00517F91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BF7B9D" w:rsidRDefault="00517F91" w:rsidP="001E604B">
            <w:pPr>
              <w:rPr>
                <w:sz w:val="20"/>
                <w:szCs w:val="20"/>
                <w:lang w:val="uk-UA"/>
              </w:rPr>
            </w:pPr>
            <w:r w:rsidRPr="00BF7B9D">
              <w:rPr>
                <w:sz w:val="20"/>
                <w:szCs w:val="20"/>
                <w:lang w:val="uk-UA"/>
              </w:rPr>
              <w:t xml:space="preserve">Кількість </w:t>
            </w:r>
            <w:r w:rsidR="009D39CB" w:rsidRPr="00BF7B9D">
              <w:rPr>
                <w:sz w:val="20"/>
                <w:szCs w:val="20"/>
                <w:lang w:val="uk-UA"/>
              </w:rPr>
              <w:t xml:space="preserve">переглянутих здобувачами освіти </w:t>
            </w:r>
            <w:r w:rsidRPr="00BF7B9D">
              <w:rPr>
                <w:sz w:val="20"/>
                <w:szCs w:val="20"/>
                <w:lang w:val="uk-UA"/>
              </w:rPr>
              <w:t>документальних, художніх та мультиплікаційних фільмів, відеороликів та інших відео</w:t>
            </w:r>
            <w:r w:rsidR="009F6705">
              <w:rPr>
                <w:sz w:val="20"/>
                <w:szCs w:val="20"/>
                <w:lang w:val="uk-UA"/>
              </w:rPr>
              <w:t>-</w:t>
            </w:r>
            <w:r w:rsidRPr="00BF7B9D">
              <w:rPr>
                <w:sz w:val="20"/>
                <w:szCs w:val="20"/>
                <w:lang w:val="uk-UA"/>
              </w:rPr>
              <w:t>контентів  для популяризації української мови</w:t>
            </w:r>
          </w:p>
        </w:tc>
        <w:tc>
          <w:tcPr>
            <w:tcW w:w="832" w:type="dxa"/>
          </w:tcPr>
          <w:p w:rsidR="00517F91" w:rsidRPr="00BF7B9D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BF7B9D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BF7B9D" w:rsidRDefault="00BF7B9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F7B9D">
              <w:rPr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709" w:type="dxa"/>
          </w:tcPr>
          <w:p w:rsidR="00517F91" w:rsidRPr="00BF7B9D" w:rsidRDefault="00BF7B9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F7B9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:rsidR="00517F91" w:rsidRPr="00BF7B9D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F7B9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517F91" w:rsidRPr="00BF7B9D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F7B9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BF7B9D" w:rsidRDefault="00BF7B9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F7B9D">
              <w:rPr>
                <w:bCs/>
                <w:sz w:val="20"/>
                <w:szCs w:val="20"/>
                <w:lang w:val="uk-UA"/>
              </w:rPr>
              <w:t>9</w:t>
            </w:r>
          </w:p>
        </w:tc>
      </w:tr>
      <w:tr w:rsidR="00517F91" w:rsidRPr="00465546" w:rsidTr="00E342B4">
        <w:trPr>
          <w:trHeight w:val="418"/>
        </w:trPr>
        <w:tc>
          <w:tcPr>
            <w:tcW w:w="1097" w:type="dxa"/>
            <w:vMerge/>
            <w:shd w:val="clear" w:color="auto" w:fill="auto"/>
          </w:tcPr>
          <w:p w:rsidR="00517F91" w:rsidRPr="00465546" w:rsidRDefault="00517F91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5C12A4" w:rsidRDefault="00517F91" w:rsidP="001E604B">
            <w:pPr>
              <w:rPr>
                <w:sz w:val="20"/>
                <w:szCs w:val="20"/>
                <w:lang w:val="uk-UA"/>
              </w:rPr>
            </w:pPr>
            <w:r w:rsidRPr="005C12A4">
              <w:rPr>
                <w:sz w:val="20"/>
                <w:szCs w:val="20"/>
                <w:lang w:val="uk-UA"/>
              </w:rPr>
              <w:t>Кількість запроваджених освітніх інформаційних про</w:t>
            </w:r>
            <w:r w:rsidR="000F5787">
              <w:rPr>
                <w:sz w:val="20"/>
                <w:szCs w:val="20"/>
                <w:lang w:val="uk-UA"/>
              </w:rPr>
              <w:t>е</w:t>
            </w:r>
            <w:r w:rsidRPr="005C12A4">
              <w:rPr>
                <w:sz w:val="20"/>
                <w:szCs w:val="20"/>
                <w:lang w:val="uk-UA"/>
              </w:rPr>
              <w:t xml:space="preserve">ктів з української історії та культури </w:t>
            </w:r>
          </w:p>
        </w:tc>
        <w:tc>
          <w:tcPr>
            <w:tcW w:w="832" w:type="dxa"/>
          </w:tcPr>
          <w:p w:rsidR="00517F91" w:rsidRPr="005C12A4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5C12A4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5C12A4" w:rsidRDefault="005C12A4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C12A4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5C12A4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C12A4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17F91" w:rsidRPr="005C12A4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C12A4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:rsidR="00517F91" w:rsidRPr="005C12A4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C12A4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5C12A4" w:rsidRDefault="005C12A4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C12A4">
              <w:rPr>
                <w:bCs/>
                <w:sz w:val="20"/>
                <w:szCs w:val="20"/>
                <w:lang w:val="uk-UA"/>
              </w:rPr>
              <w:t>3</w:t>
            </w:r>
          </w:p>
        </w:tc>
      </w:tr>
      <w:tr w:rsidR="00517F91" w:rsidRPr="00465546" w:rsidTr="00E342B4">
        <w:trPr>
          <w:trHeight w:val="418"/>
        </w:trPr>
        <w:tc>
          <w:tcPr>
            <w:tcW w:w="1097" w:type="dxa"/>
            <w:vMerge/>
            <w:shd w:val="clear" w:color="auto" w:fill="auto"/>
          </w:tcPr>
          <w:p w:rsidR="00517F91" w:rsidRPr="00465546" w:rsidRDefault="00517F91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434E21" w:rsidRDefault="00517F91" w:rsidP="001E604B">
            <w:pPr>
              <w:rPr>
                <w:sz w:val="20"/>
                <w:szCs w:val="20"/>
                <w:lang w:val="uk-UA"/>
              </w:rPr>
            </w:pPr>
            <w:r w:rsidRPr="00434E21">
              <w:rPr>
                <w:sz w:val="20"/>
                <w:szCs w:val="20"/>
                <w:lang w:val="uk-UA"/>
              </w:rPr>
              <w:t>Кількість</w:t>
            </w:r>
            <w:r w:rsidR="00943D0C" w:rsidRPr="00434E21">
              <w:rPr>
                <w:sz w:val="20"/>
                <w:szCs w:val="20"/>
                <w:lang w:val="uk-UA"/>
              </w:rPr>
              <w:t xml:space="preserve"> організованих виставокукраїномовних</w:t>
            </w:r>
            <w:r w:rsidRPr="00434E21">
              <w:rPr>
                <w:sz w:val="20"/>
                <w:szCs w:val="20"/>
                <w:lang w:val="uk-UA"/>
              </w:rPr>
              <w:t xml:space="preserve"> книг, друкованої продукції про нематеріальну культурну спадщину; з історії та сьогодення духовного, культурно-мистецького життя Дніпропетровщини та творчості провідних митців краю;  етнографічної, краєзнавчої тематики</w:t>
            </w:r>
          </w:p>
        </w:tc>
        <w:tc>
          <w:tcPr>
            <w:tcW w:w="832" w:type="dxa"/>
          </w:tcPr>
          <w:p w:rsidR="00517F91" w:rsidRPr="00434E21" w:rsidRDefault="00517F91" w:rsidP="001E60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4E21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434E21" w:rsidRDefault="00434E2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34E21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434E21" w:rsidRDefault="00434E2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34E21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17F91" w:rsidRPr="00434E21" w:rsidRDefault="00434E2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34E21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:rsidR="00517F91" w:rsidRPr="00434E21" w:rsidRDefault="00434E2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34E21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434E21" w:rsidRDefault="00434E2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34E21">
              <w:rPr>
                <w:bCs/>
                <w:sz w:val="20"/>
                <w:szCs w:val="20"/>
                <w:lang w:val="uk-UA"/>
              </w:rPr>
              <w:t>3</w:t>
            </w:r>
          </w:p>
        </w:tc>
      </w:tr>
      <w:tr w:rsidR="00517F91" w:rsidRPr="00465546" w:rsidTr="00E342B4">
        <w:trPr>
          <w:trHeight w:val="418"/>
        </w:trPr>
        <w:tc>
          <w:tcPr>
            <w:tcW w:w="1097" w:type="dxa"/>
            <w:vMerge/>
            <w:shd w:val="clear" w:color="auto" w:fill="auto"/>
          </w:tcPr>
          <w:p w:rsidR="00517F91" w:rsidRPr="00465546" w:rsidRDefault="00517F91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7E04AD" w:rsidRDefault="00517F91" w:rsidP="001E604B">
            <w:pPr>
              <w:rPr>
                <w:sz w:val="20"/>
                <w:szCs w:val="20"/>
                <w:lang w:val="uk-UA"/>
              </w:rPr>
            </w:pPr>
            <w:r w:rsidRPr="007E04AD">
              <w:rPr>
                <w:sz w:val="20"/>
                <w:szCs w:val="20"/>
                <w:lang w:val="uk-UA"/>
              </w:rPr>
              <w:t xml:space="preserve">Кількість проведених книжкових виставок, ярмарок </w:t>
            </w:r>
            <w:r w:rsidR="007E04AD">
              <w:rPr>
                <w:sz w:val="20"/>
                <w:szCs w:val="20"/>
                <w:lang w:val="uk-UA"/>
              </w:rPr>
              <w:t xml:space="preserve">бібліотеками </w:t>
            </w:r>
            <w:r w:rsidR="007E04AD">
              <w:rPr>
                <w:sz w:val="20"/>
                <w:szCs w:val="20"/>
                <w:lang w:val="uk-UA"/>
              </w:rPr>
              <w:lastRenderedPageBreak/>
              <w:t>громади</w:t>
            </w:r>
          </w:p>
        </w:tc>
        <w:tc>
          <w:tcPr>
            <w:tcW w:w="832" w:type="dxa"/>
          </w:tcPr>
          <w:p w:rsidR="00517F91" w:rsidRPr="007E04AD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7E04AD">
              <w:rPr>
                <w:sz w:val="20"/>
                <w:szCs w:val="20"/>
                <w:lang w:val="uk-UA"/>
              </w:rPr>
              <w:lastRenderedPageBreak/>
              <w:t>од.</w:t>
            </w:r>
          </w:p>
        </w:tc>
        <w:tc>
          <w:tcPr>
            <w:tcW w:w="728" w:type="dxa"/>
          </w:tcPr>
          <w:p w:rsidR="00517F91" w:rsidRPr="007E04AD" w:rsidRDefault="007E04A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04AD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7E04AD" w:rsidRDefault="007E04A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04A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17F91" w:rsidRPr="007E04AD" w:rsidRDefault="007E04A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04A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:rsidR="00517F91" w:rsidRPr="007E04AD" w:rsidRDefault="007E04A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04A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7E04AD" w:rsidRDefault="007E04AD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04AD">
              <w:rPr>
                <w:bCs/>
                <w:sz w:val="20"/>
                <w:szCs w:val="20"/>
                <w:lang w:val="uk-UA"/>
              </w:rPr>
              <w:t>3</w:t>
            </w:r>
          </w:p>
        </w:tc>
      </w:tr>
      <w:tr w:rsidR="00517F91" w:rsidRPr="00465546" w:rsidTr="00E342B4">
        <w:trPr>
          <w:trHeight w:val="418"/>
        </w:trPr>
        <w:tc>
          <w:tcPr>
            <w:tcW w:w="1097" w:type="dxa"/>
            <w:vMerge/>
            <w:shd w:val="clear" w:color="auto" w:fill="auto"/>
          </w:tcPr>
          <w:p w:rsidR="00517F91" w:rsidRPr="00465546" w:rsidRDefault="00517F91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C44A38" w:rsidRDefault="00517F91" w:rsidP="001E604B">
            <w:pPr>
              <w:rPr>
                <w:sz w:val="20"/>
                <w:szCs w:val="20"/>
                <w:lang w:val="uk-UA"/>
              </w:rPr>
            </w:pPr>
            <w:r w:rsidRPr="00C44A38">
              <w:rPr>
                <w:sz w:val="20"/>
                <w:szCs w:val="20"/>
                <w:lang w:val="uk-UA"/>
              </w:rPr>
              <w:t>Кількість створених відео</w:t>
            </w:r>
            <w:r w:rsidR="00210863" w:rsidRPr="00C44A38">
              <w:rPr>
                <w:sz w:val="20"/>
                <w:szCs w:val="20"/>
                <w:lang w:val="uk-UA"/>
              </w:rPr>
              <w:t>-</w:t>
            </w:r>
            <w:r w:rsidRPr="00C44A38">
              <w:rPr>
                <w:sz w:val="20"/>
                <w:szCs w:val="20"/>
                <w:lang w:val="uk-UA"/>
              </w:rPr>
              <w:t>продуктів щодо нормативного врегулювання питання використання державної мови у відповідних сферах суспільного життя</w:t>
            </w:r>
          </w:p>
        </w:tc>
        <w:tc>
          <w:tcPr>
            <w:tcW w:w="832" w:type="dxa"/>
          </w:tcPr>
          <w:p w:rsidR="00517F91" w:rsidRPr="00C44A38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C44A38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C44A38" w:rsidRDefault="00C44A38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44A38">
              <w:rPr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</w:tcPr>
          <w:p w:rsidR="00517F91" w:rsidRPr="00C44A38" w:rsidRDefault="00C44A38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44A38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517F91" w:rsidRPr="00C44A38" w:rsidRDefault="00C44A38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44A38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</w:tcPr>
          <w:p w:rsidR="00517F91" w:rsidRPr="00C44A38" w:rsidRDefault="00C44A38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44A38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C44A38" w:rsidRDefault="00C44A38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44A38">
              <w:rPr>
                <w:bCs/>
                <w:sz w:val="20"/>
                <w:szCs w:val="20"/>
                <w:lang w:val="uk-UA"/>
              </w:rPr>
              <w:t>6</w:t>
            </w:r>
          </w:p>
        </w:tc>
      </w:tr>
      <w:tr w:rsidR="00BE74D4" w:rsidRPr="00465546" w:rsidTr="00E342B4">
        <w:trPr>
          <w:trHeight w:val="418"/>
        </w:trPr>
        <w:tc>
          <w:tcPr>
            <w:tcW w:w="1097" w:type="dxa"/>
            <w:vMerge/>
            <w:shd w:val="clear" w:color="auto" w:fill="auto"/>
          </w:tcPr>
          <w:p w:rsidR="00BE74D4" w:rsidRPr="00465546" w:rsidRDefault="00BE74D4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BE74D4" w:rsidRPr="00C44A38" w:rsidRDefault="00D87F89" w:rsidP="001E604B">
            <w:pPr>
              <w:rPr>
                <w:sz w:val="20"/>
                <w:szCs w:val="20"/>
                <w:lang w:val="uk-UA"/>
              </w:rPr>
            </w:pPr>
            <w:r w:rsidRPr="002040AD">
              <w:rPr>
                <w:sz w:val="20"/>
                <w:szCs w:val="20"/>
                <w:lang w:val="uk-UA"/>
              </w:rPr>
              <w:t xml:space="preserve">Кількість проведених заходів </w:t>
            </w:r>
            <w:r w:rsidR="00D0689A">
              <w:rPr>
                <w:sz w:val="20"/>
                <w:szCs w:val="20"/>
                <w:lang w:val="uk-UA"/>
              </w:rPr>
              <w:t>до Дня української писемності.</w:t>
            </w:r>
          </w:p>
        </w:tc>
        <w:tc>
          <w:tcPr>
            <w:tcW w:w="832" w:type="dxa"/>
          </w:tcPr>
          <w:p w:rsidR="00BE74D4" w:rsidRPr="00C44A38" w:rsidRDefault="00D0689A" w:rsidP="001E60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BE74D4" w:rsidRPr="00C44A38" w:rsidRDefault="00D0689A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</w:t>
            </w:r>
          </w:p>
        </w:tc>
        <w:tc>
          <w:tcPr>
            <w:tcW w:w="709" w:type="dxa"/>
          </w:tcPr>
          <w:p w:rsidR="00BE74D4" w:rsidRPr="00C44A38" w:rsidRDefault="00D0689A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</w:tcPr>
          <w:p w:rsidR="00BE74D4" w:rsidRPr="00C44A38" w:rsidRDefault="00D0689A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</w:tcPr>
          <w:p w:rsidR="00BE74D4" w:rsidRPr="00C44A38" w:rsidRDefault="00D0689A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583" w:type="dxa"/>
            <w:tcBorders>
              <w:left w:val="nil"/>
            </w:tcBorders>
          </w:tcPr>
          <w:p w:rsidR="00BE74D4" w:rsidRPr="00C44A38" w:rsidRDefault="00D0689A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</w:t>
            </w:r>
          </w:p>
        </w:tc>
      </w:tr>
      <w:tr w:rsidR="00517F91" w:rsidRPr="00465546" w:rsidTr="00E342B4">
        <w:trPr>
          <w:trHeight w:val="418"/>
        </w:trPr>
        <w:tc>
          <w:tcPr>
            <w:tcW w:w="1097" w:type="dxa"/>
            <w:vMerge/>
            <w:shd w:val="clear" w:color="auto" w:fill="auto"/>
          </w:tcPr>
          <w:p w:rsidR="00517F91" w:rsidRPr="00465546" w:rsidRDefault="00517F91" w:rsidP="001E604B">
            <w:pPr>
              <w:ind w:right="519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3184" w:type="dxa"/>
          </w:tcPr>
          <w:p w:rsidR="00517F91" w:rsidRPr="00A212F5" w:rsidRDefault="00517F91" w:rsidP="001E604B">
            <w:pPr>
              <w:rPr>
                <w:sz w:val="20"/>
                <w:szCs w:val="20"/>
                <w:lang w:val="uk-UA"/>
              </w:rPr>
            </w:pPr>
            <w:r w:rsidRPr="00A212F5">
              <w:rPr>
                <w:spacing w:val="-6"/>
                <w:sz w:val="20"/>
                <w:szCs w:val="20"/>
                <w:lang w:val="uk-UA" w:eastAsia="uk-UA"/>
              </w:rPr>
              <w:t xml:space="preserve">Кількість організованих інформаційних </w:t>
            </w:r>
            <w:r w:rsidR="00BE74D4" w:rsidRPr="00A212F5">
              <w:rPr>
                <w:spacing w:val="-6"/>
                <w:sz w:val="20"/>
                <w:szCs w:val="20"/>
                <w:lang w:val="uk-UA" w:eastAsia="uk-UA"/>
              </w:rPr>
              <w:t>лекцій</w:t>
            </w:r>
            <w:r w:rsidRPr="00A212F5">
              <w:rPr>
                <w:spacing w:val="-6"/>
                <w:sz w:val="20"/>
                <w:szCs w:val="20"/>
                <w:lang w:val="uk-UA" w:eastAsia="uk-UA"/>
              </w:rPr>
              <w:t xml:space="preserve"> про порядок застосування норм законодавства про державну мову</w:t>
            </w:r>
          </w:p>
        </w:tc>
        <w:tc>
          <w:tcPr>
            <w:tcW w:w="832" w:type="dxa"/>
          </w:tcPr>
          <w:p w:rsidR="00517F91" w:rsidRPr="00A212F5" w:rsidRDefault="00517F91" w:rsidP="001E604B">
            <w:pPr>
              <w:jc w:val="center"/>
              <w:rPr>
                <w:sz w:val="20"/>
                <w:szCs w:val="20"/>
                <w:lang w:val="uk-UA"/>
              </w:rPr>
            </w:pPr>
            <w:r w:rsidRPr="00A212F5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728" w:type="dxa"/>
          </w:tcPr>
          <w:p w:rsidR="00517F91" w:rsidRPr="00A212F5" w:rsidRDefault="00BE74D4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212F5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17F91" w:rsidRPr="00A212F5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212F5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17F91" w:rsidRPr="00A212F5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212F5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:rsidR="00517F91" w:rsidRPr="00A212F5" w:rsidRDefault="00517F91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212F5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83" w:type="dxa"/>
            <w:tcBorders>
              <w:left w:val="nil"/>
            </w:tcBorders>
          </w:tcPr>
          <w:p w:rsidR="00517F91" w:rsidRPr="00A212F5" w:rsidRDefault="00BE74D4" w:rsidP="001E60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212F5">
              <w:rPr>
                <w:bCs/>
                <w:sz w:val="20"/>
                <w:szCs w:val="20"/>
                <w:lang w:val="uk-UA"/>
              </w:rPr>
              <w:t>3</w:t>
            </w:r>
          </w:p>
        </w:tc>
      </w:tr>
    </w:tbl>
    <w:p w:rsidR="00517F91" w:rsidRDefault="00517F91" w:rsidP="00517F91">
      <w:pPr>
        <w:jc w:val="both"/>
        <w:rPr>
          <w:sz w:val="28"/>
          <w:szCs w:val="28"/>
          <w:lang w:val="uk-UA"/>
        </w:rPr>
      </w:pPr>
    </w:p>
    <w:p w:rsidR="00517F91" w:rsidRPr="00912B27" w:rsidRDefault="00CB0F3F" w:rsidP="00517F9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17F91" w:rsidRPr="00912B27">
        <w:rPr>
          <w:sz w:val="28"/>
          <w:szCs w:val="28"/>
          <w:lang w:val="uk-UA"/>
        </w:rPr>
        <w:t>. Координація та контроль за виконанням.</w:t>
      </w:r>
    </w:p>
    <w:p w:rsidR="00517F91" w:rsidRPr="00912B27" w:rsidRDefault="00517F91" w:rsidP="00517F91">
      <w:pPr>
        <w:ind w:firstLine="567"/>
        <w:jc w:val="both"/>
        <w:rPr>
          <w:sz w:val="28"/>
          <w:szCs w:val="28"/>
          <w:lang w:val="uk-UA"/>
        </w:rPr>
      </w:pPr>
      <w:r w:rsidRPr="00912B27">
        <w:rPr>
          <w:sz w:val="28"/>
          <w:szCs w:val="28"/>
          <w:lang w:val="uk-UA"/>
        </w:rPr>
        <w:t xml:space="preserve">Координацію виконання Програми здійснює її  </w:t>
      </w:r>
      <w:r w:rsidRPr="00912B27">
        <w:rPr>
          <w:sz w:val="28"/>
          <w:szCs w:val="28"/>
          <w:lang w:val="uk-UA"/>
        </w:rPr>
        <w:br/>
        <w:t xml:space="preserve">замовник – </w:t>
      </w:r>
      <w:r w:rsidR="00CB62CF">
        <w:rPr>
          <w:sz w:val="28"/>
          <w:szCs w:val="28"/>
          <w:lang w:val="uk-UA"/>
        </w:rPr>
        <w:t>відділ освіти</w:t>
      </w:r>
      <w:r w:rsidR="00CB62CF" w:rsidRPr="00912B27">
        <w:rPr>
          <w:sz w:val="28"/>
          <w:szCs w:val="28"/>
          <w:lang w:val="uk-UA"/>
        </w:rPr>
        <w:t xml:space="preserve"> культури, </w:t>
      </w:r>
      <w:r w:rsidR="00CB62CF">
        <w:rPr>
          <w:sz w:val="28"/>
          <w:szCs w:val="28"/>
          <w:lang w:val="uk-UA"/>
        </w:rPr>
        <w:t>молоді та спорту Саксаганської сільської ради</w:t>
      </w:r>
      <w:r w:rsidRPr="00912B27">
        <w:rPr>
          <w:sz w:val="28"/>
          <w:szCs w:val="28"/>
          <w:lang w:val="uk-UA"/>
        </w:rPr>
        <w:t xml:space="preserve">, який щокварталу, до 15 числа місяця, що настає за звітним періодом, подає до </w:t>
      </w:r>
      <w:r w:rsidR="00CB62CF">
        <w:rPr>
          <w:sz w:val="28"/>
          <w:szCs w:val="28"/>
          <w:lang w:val="uk-UA"/>
        </w:rPr>
        <w:t>райдержадміністрації</w:t>
      </w:r>
      <w:r w:rsidRPr="00912B27">
        <w:rPr>
          <w:sz w:val="28"/>
          <w:szCs w:val="28"/>
          <w:lang w:val="uk-UA"/>
        </w:rPr>
        <w:t xml:space="preserve"> узагальнену інформацію про стан та результати  виконання Програми.</w:t>
      </w:r>
    </w:p>
    <w:p w:rsidR="00517F91" w:rsidRPr="00912B27" w:rsidRDefault="00517F91" w:rsidP="00517F91">
      <w:pPr>
        <w:ind w:right="-22" w:firstLine="567"/>
        <w:contextualSpacing/>
        <w:jc w:val="both"/>
        <w:rPr>
          <w:sz w:val="28"/>
          <w:szCs w:val="28"/>
          <w:lang w:val="uk-UA"/>
        </w:rPr>
      </w:pPr>
      <w:r w:rsidRPr="00912B27">
        <w:rPr>
          <w:sz w:val="28"/>
          <w:szCs w:val="28"/>
          <w:lang w:val="uk-UA"/>
        </w:rPr>
        <w:t xml:space="preserve">Контроль за виконанням Програми здійснює постійна комісія </w:t>
      </w:r>
      <w:r w:rsidR="006108FF">
        <w:rPr>
          <w:sz w:val="28"/>
          <w:szCs w:val="28"/>
          <w:lang w:val="uk-UA"/>
        </w:rPr>
        <w:t>виконавчого комітету Саксаганської сільської ради з гуманітарних питань.</w:t>
      </w:r>
    </w:p>
    <w:p w:rsidR="00517F91" w:rsidRPr="00517F91" w:rsidRDefault="00517F91" w:rsidP="00517F91">
      <w:pPr>
        <w:ind w:right="-22" w:firstLine="567"/>
        <w:contextualSpacing/>
        <w:jc w:val="both"/>
        <w:rPr>
          <w:sz w:val="36"/>
          <w:szCs w:val="36"/>
        </w:rPr>
      </w:pPr>
    </w:p>
    <w:p w:rsidR="008C30F6" w:rsidRDefault="008C30F6" w:rsidP="00517F91">
      <w:pPr>
        <w:ind w:right="-23" w:firstLine="567"/>
        <w:contextualSpacing/>
        <w:jc w:val="both"/>
        <w:rPr>
          <w:b/>
          <w:sz w:val="28"/>
          <w:szCs w:val="28"/>
          <w:lang w:val="uk-UA"/>
        </w:rPr>
      </w:pPr>
    </w:p>
    <w:p w:rsidR="006108FF" w:rsidRPr="00E74CE3" w:rsidRDefault="006108FF" w:rsidP="006108FF">
      <w:pPr>
        <w:pStyle w:val="a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4CE3">
        <w:rPr>
          <w:rFonts w:ascii="Times New Roman" w:hAnsi="Times New Roman" w:cs="Times New Roman"/>
          <w:sz w:val="28"/>
          <w:szCs w:val="28"/>
          <w:lang w:val="uk-UA" w:eastAsia="uk-UA"/>
        </w:rPr>
        <w:t>Начальник відділу освіти,</w:t>
      </w:r>
    </w:p>
    <w:p w:rsidR="006108FF" w:rsidRPr="00E74CE3" w:rsidRDefault="006108FF" w:rsidP="006108FF">
      <w:pPr>
        <w:pStyle w:val="a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4CE3">
        <w:rPr>
          <w:rFonts w:ascii="Times New Roman" w:hAnsi="Times New Roman" w:cs="Times New Roman"/>
          <w:sz w:val="28"/>
          <w:szCs w:val="28"/>
          <w:lang w:val="uk-UA" w:eastAsia="uk-UA"/>
        </w:rPr>
        <w:t>культури, молоді та спорту</w:t>
      </w:r>
    </w:p>
    <w:p w:rsidR="006108FF" w:rsidRPr="00E74CE3" w:rsidRDefault="006108FF" w:rsidP="006108FF">
      <w:pPr>
        <w:pStyle w:val="a8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74CE3">
        <w:rPr>
          <w:rFonts w:ascii="Times New Roman" w:hAnsi="Times New Roman" w:cs="Times New Roman"/>
          <w:sz w:val="28"/>
          <w:szCs w:val="28"/>
          <w:lang w:val="uk-UA" w:eastAsia="uk-UA"/>
        </w:rPr>
        <w:t>Саксаганської сільської ради                                     Анжела СТОРЧАК</w:t>
      </w:r>
    </w:p>
    <w:p w:rsidR="00546A31" w:rsidRPr="00E74CE3" w:rsidRDefault="00546A31">
      <w:pPr>
        <w:rPr>
          <w:lang w:val="uk-UA"/>
        </w:rPr>
      </w:pPr>
    </w:p>
    <w:sectPr w:rsidR="00546A31" w:rsidRPr="00E74CE3" w:rsidSect="00465546">
      <w:headerReference w:type="default" r:id="rId7"/>
      <w:headerReference w:type="first" r:id="rId8"/>
      <w:pgSz w:w="11906" w:h="16838" w:code="9"/>
      <w:pgMar w:top="1134" w:right="851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681" w:rsidRDefault="00812681" w:rsidP="00540415">
      <w:r>
        <w:separator/>
      </w:r>
    </w:p>
  </w:endnote>
  <w:endnote w:type="continuationSeparator" w:id="1">
    <w:p w:rsidR="00812681" w:rsidRDefault="00812681" w:rsidP="00540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681" w:rsidRDefault="00812681" w:rsidP="00540415">
      <w:r>
        <w:separator/>
      </w:r>
    </w:p>
  </w:footnote>
  <w:footnote w:type="continuationSeparator" w:id="1">
    <w:p w:rsidR="00812681" w:rsidRDefault="00812681" w:rsidP="00540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20007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65C14" w:rsidRPr="00465546" w:rsidRDefault="00540415" w:rsidP="00465546">
        <w:pPr>
          <w:pStyle w:val="a5"/>
          <w:jc w:val="center"/>
          <w:rPr>
            <w:sz w:val="28"/>
            <w:szCs w:val="28"/>
          </w:rPr>
        </w:pPr>
        <w:r w:rsidRPr="00F579F9">
          <w:rPr>
            <w:sz w:val="28"/>
            <w:szCs w:val="28"/>
          </w:rPr>
          <w:fldChar w:fldCharType="begin"/>
        </w:r>
        <w:r w:rsidR="002A5419" w:rsidRPr="00F579F9">
          <w:rPr>
            <w:sz w:val="28"/>
            <w:szCs w:val="28"/>
          </w:rPr>
          <w:instrText>PAGE   \* MERGEFORMAT</w:instrText>
        </w:r>
        <w:r w:rsidRPr="00F579F9">
          <w:rPr>
            <w:sz w:val="28"/>
            <w:szCs w:val="28"/>
          </w:rPr>
          <w:fldChar w:fldCharType="separate"/>
        </w:r>
        <w:r w:rsidR="00D21E58">
          <w:rPr>
            <w:noProof/>
            <w:sz w:val="28"/>
            <w:szCs w:val="28"/>
          </w:rPr>
          <w:t>2</w:t>
        </w:r>
        <w:r w:rsidRPr="00F579F9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C4" w:rsidRPr="00B41181" w:rsidRDefault="00540415">
    <w:pPr>
      <w:pStyle w:val="a5"/>
      <w:jc w:val="center"/>
      <w:rPr>
        <w:sz w:val="28"/>
        <w:szCs w:val="28"/>
      </w:rPr>
    </w:pPr>
    <w:r w:rsidRPr="00B41181">
      <w:rPr>
        <w:sz w:val="28"/>
        <w:szCs w:val="28"/>
      </w:rPr>
      <w:fldChar w:fldCharType="begin"/>
    </w:r>
    <w:r w:rsidR="002A5419" w:rsidRPr="00B41181">
      <w:rPr>
        <w:sz w:val="28"/>
        <w:szCs w:val="28"/>
      </w:rPr>
      <w:instrText>PAGE   \* MERGEFORMAT</w:instrText>
    </w:r>
    <w:r w:rsidRPr="00B41181">
      <w:rPr>
        <w:sz w:val="28"/>
        <w:szCs w:val="28"/>
      </w:rPr>
      <w:fldChar w:fldCharType="separate"/>
    </w:r>
    <w:r w:rsidR="00D21E58">
      <w:rPr>
        <w:noProof/>
        <w:sz w:val="28"/>
        <w:szCs w:val="28"/>
      </w:rPr>
      <w:t>2</w:t>
    </w:r>
    <w:r w:rsidRPr="00B41181">
      <w:rPr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51" w:rsidRDefault="00812681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FDB"/>
    <w:rsid w:val="000C78AC"/>
    <w:rsid w:val="000D3BDA"/>
    <w:rsid w:val="000F5787"/>
    <w:rsid w:val="00114011"/>
    <w:rsid w:val="001155F4"/>
    <w:rsid w:val="00131AEF"/>
    <w:rsid w:val="00187F6D"/>
    <w:rsid w:val="001A4AF5"/>
    <w:rsid w:val="001C3439"/>
    <w:rsid w:val="002040AD"/>
    <w:rsid w:val="00210863"/>
    <w:rsid w:val="00251C1D"/>
    <w:rsid w:val="002845EF"/>
    <w:rsid w:val="002A5419"/>
    <w:rsid w:val="00301C52"/>
    <w:rsid w:val="00307CCF"/>
    <w:rsid w:val="003332B4"/>
    <w:rsid w:val="003665DB"/>
    <w:rsid w:val="003960D6"/>
    <w:rsid w:val="003C681B"/>
    <w:rsid w:val="00434E21"/>
    <w:rsid w:val="004951FC"/>
    <w:rsid w:val="004A2FDB"/>
    <w:rsid w:val="004F5C69"/>
    <w:rsid w:val="00517F91"/>
    <w:rsid w:val="00540415"/>
    <w:rsid w:val="00546A31"/>
    <w:rsid w:val="00556FD3"/>
    <w:rsid w:val="005C12A4"/>
    <w:rsid w:val="005D5F74"/>
    <w:rsid w:val="006108FF"/>
    <w:rsid w:val="00675437"/>
    <w:rsid w:val="006767E2"/>
    <w:rsid w:val="00690EF1"/>
    <w:rsid w:val="00723F0C"/>
    <w:rsid w:val="007C4E52"/>
    <w:rsid w:val="007E04AD"/>
    <w:rsid w:val="007E3A81"/>
    <w:rsid w:val="00812681"/>
    <w:rsid w:val="00832E6E"/>
    <w:rsid w:val="008459EC"/>
    <w:rsid w:val="00870ACB"/>
    <w:rsid w:val="00896314"/>
    <w:rsid w:val="008A52DD"/>
    <w:rsid w:val="008C30F6"/>
    <w:rsid w:val="009108B2"/>
    <w:rsid w:val="0091380A"/>
    <w:rsid w:val="0093319A"/>
    <w:rsid w:val="00943D0C"/>
    <w:rsid w:val="00944A61"/>
    <w:rsid w:val="009722E4"/>
    <w:rsid w:val="009B2971"/>
    <w:rsid w:val="009D39CB"/>
    <w:rsid w:val="009F6705"/>
    <w:rsid w:val="00A05320"/>
    <w:rsid w:val="00A13ADA"/>
    <w:rsid w:val="00A212F5"/>
    <w:rsid w:val="00A341C4"/>
    <w:rsid w:val="00A97C22"/>
    <w:rsid w:val="00AD495A"/>
    <w:rsid w:val="00B17BE3"/>
    <w:rsid w:val="00B7301D"/>
    <w:rsid w:val="00B803C1"/>
    <w:rsid w:val="00BA7FB8"/>
    <w:rsid w:val="00BB0DBC"/>
    <w:rsid w:val="00BC0151"/>
    <w:rsid w:val="00BC1842"/>
    <w:rsid w:val="00BE74D4"/>
    <w:rsid w:val="00BF7B9D"/>
    <w:rsid w:val="00C44A38"/>
    <w:rsid w:val="00C82C40"/>
    <w:rsid w:val="00CA280B"/>
    <w:rsid w:val="00CB0F3F"/>
    <w:rsid w:val="00CB62CF"/>
    <w:rsid w:val="00CF303A"/>
    <w:rsid w:val="00D0689A"/>
    <w:rsid w:val="00D21E58"/>
    <w:rsid w:val="00D6242B"/>
    <w:rsid w:val="00D67530"/>
    <w:rsid w:val="00D76822"/>
    <w:rsid w:val="00D87F89"/>
    <w:rsid w:val="00DC3723"/>
    <w:rsid w:val="00E342B4"/>
    <w:rsid w:val="00E37D1C"/>
    <w:rsid w:val="00E43B4E"/>
    <w:rsid w:val="00E725F8"/>
    <w:rsid w:val="00E74CE3"/>
    <w:rsid w:val="00EF3E05"/>
    <w:rsid w:val="00F0368A"/>
    <w:rsid w:val="00F10AE5"/>
    <w:rsid w:val="00FC1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17F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517F9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17F9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517F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517F91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517F9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8">
    <w:name w:val="No Spacing"/>
    <w:uiPriority w:val="1"/>
    <w:qFormat/>
    <w:rsid w:val="006108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Сторчак</dc:creator>
  <cp:keywords/>
  <dc:description/>
  <cp:lastModifiedBy>Test</cp:lastModifiedBy>
  <cp:revision>16</cp:revision>
  <dcterms:created xsi:type="dcterms:W3CDTF">2024-12-10T10:32:00Z</dcterms:created>
  <dcterms:modified xsi:type="dcterms:W3CDTF">2026-04-06T12:43:00Z</dcterms:modified>
</cp:coreProperties>
</file>