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0" w:right="0" w:hanging="0"/>
        <w:jc w:val="center"/>
        <w:rPr>
          <w:shd w:fill="auto" w:val="clear"/>
        </w:rPr>
      </w:pPr>
      <w:r>
        <w:rPr>
          <w:rFonts w:eastAsia="SimSun" w:cs="Mangal" w:ascii="Times New Roman" w:hAnsi="Times New Roman"/>
          <w:b/>
          <w:bCs/>
          <w:color w:val="000000"/>
          <w:kern w:val="2"/>
          <w:sz w:val="32"/>
          <w:szCs w:val="32"/>
          <w:shd w:fill="auto" w:val="clear"/>
          <w:lang w:val="uk-UA" w:eastAsia="zh-CN" w:bidi="hi-IN"/>
        </w:rPr>
        <w:t>Про індексацію пенсій з березня</w:t>
      </w:r>
      <w:r>
        <w:rPr>
          <w:rFonts w:ascii="Times New Roman" w:hAnsi="Times New Roman"/>
          <w:b/>
          <w:bCs/>
          <w:sz w:val="32"/>
          <w:szCs w:val="32"/>
          <w:shd w:fill="auto" w:val="clear"/>
          <w:lang w:val="uk-UA"/>
        </w:rPr>
        <w:t xml:space="preserve"> 2021 року</w:t>
      </w:r>
    </w:p>
    <w:p>
      <w:pPr>
        <w:pStyle w:val="Normal"/>
        <w:spacing w:lineRule="auto" w:line="276"/>
        <w:ind w:left="0" w:right="0" w:firstLine="850"/>
        <w:jc w:val="both"/>
        <w:rPr>
          <w:rFonts w:ascii="Times New Roman" w:hAnsi="Times New Roman"/>
          <w:sz w:val="32"/>
          <w:szCs w:val="32"/>
          <w:shd w:fill="FFFF00" w:val="clear"/>
          <w:lang w:val="uk-UA"/>
        </w:rPr>
      </w:pPr>
      <w:r>
        <w:rPr>
          <w:rFonts w:ascii="Times New Roman" w:hAnsi="Times New Roman"/>
          <w:sz w:val="32"/>
          <w:szCs w:val="32"/>
          <w:shd w:fill="FFFF00" w:val="clear"/>
          <w:lang w:val="uk-UA"/>
        </w:rPr>
      </w:r>
    </w:p>
    <w:p>
      <w:pPr>
        <w:pStyle w:val="Normal"/>
        <w:spacing w:lineRule="auto" w:line="276"/>
        <w:ind w:left="0" w:right="0" w:firstLine="85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У </w:t>
      </w:r>
      <w:r>
        <w:rPr>
          <w:rFonts w:eastAsia="SimSun" w:cs="Mangal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hi-IN"/>
        </w:rPr>
        <w:t>березні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 2021 року Пенсійний фонд України провів індексацію пенсій. У яких категорій громадян та на скільки змінилися пенсійні виплати надасть роз’яснення начальник Головного управління Пенсійного фонду України в Дніпропетровській області Юрій Козак.</w:t>
      </w:r>
    </w:p>
    <w:p>
      <w:pPr>
        <w:pStyle w:val="Normal"/>
        <w:spacing w:lineRule="auto" w:line="276"/>
        <w:ind w:left="0" w:right="0" w:firstLine="85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76"/>
        <w:ind w:left="0" w:right="0" w:firstLine="85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>Які категорії громадян підлягали індексації пенсій?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Відповідно до  Постанови Кабінету Міністрів  від  22 лютого 2021 року №127 «Про додаткові заходи соціального захисту пенсіонерів у 2021 році», з 1 березня 2021 року проведено індексацію пенсій шляхом встановлення підвищення пенсії відповідно до частини другої статті 42 Закону України «Про загальнообов’язкове державне пенсійне страхування».</w:t>
      </w:r>
    </w:p>
    <w:p>
      <w:pPr>
        <w:pStyle w:val="Normal"/>
        <w:spacing w:lineRule="auto" w:line="276"/>
        <w:ind w:left="0" w:right="0" w:firstLine="85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uk-UA"/>
        </w:rPr>
        <w:t>Перерахунок проведений для осіб, які отримують пенсію відповідно до наступних законів України: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uk-UA"/>
        </w:rPr>
        <w:t>“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Про загальнообов’язкове державне пенсійне страхування”;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uk-UA"/>
        </w:rPr>
        <w:t>“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Про пенсійне забезпечення осіб, звільнених з військової служби, та деяких інших осіб” (з числа військовослужбовців строкової служби);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uk-UA"/>
        </w:rPr>
        <w:t>“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Про статус і соціальний захист громадян, які постраждали внаслідок Чорнобильської катастрофи”.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Times New Roman" w:hAnsi="Times New Roman"/>
          <w:shd w:fill="FFFF00" w:val="clear"/>
          <w:lang w:val="uk-UA"/>
        </w:rPr>
      </w:pPr>
      <w:r>
        <w:rPr>
          <w:rFonts w:ascii="Times New Roman" w:hAnsi="Times New Roman"/>
          <w:shd w:fill="FFFF00" w:val="clear"/>
          <w:lang w:val="uk-UA"/>
        </w:rPr>
      </w:r>
    </w:p>
    <w:p>
      <w:pPr>
        <w:pStyle w:val="Normal"/>
        <w:spacing w:lineRule="auto" w:line="276"/>
        <w:ind w:left="0" w:right="0" w:firstLine="850"/>
        <w:jc w:val="both"/>
        <w:rPr/>
      </w:pPr>
      <w:r>
        <w:rPr>
          <w:rFonts w:eastAsia="SimSun" w:cs="Mangal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hi-IN"/>
        </w:rPr>
        <w:t xml:space="preserve">Як правильно розуміти поняття “індексація пенсії”? 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 xml:space="preserve">Який </w:t>
      </w:r>
      <w:r>
        <w:rPr>
          <w:rFonts w:eastAsia="SimSun" w:cs="Mangal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hi-IN"/>
        </w:rPr>
        <w:t>коефіцієнт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 xml:space="preserve"> індексації пенсій? </w:t>
      </w:r>
    </w:p>
    <w:p>
      <w:pPr>
        <w:pStyle w:val="Normal"/>
        <w:spacing w:lineRule="auto" w:line="276"/>
        <w:ind w:left="0" w:right="0" w:firstLine="85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Спочатку давайте розберемося, що таке індексація пенсії, бо множити свій розмір пенсійної виплати на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к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оефіцієнт індексації — помилково.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Тому що і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ндексаці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я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пенсі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ї передбачає змін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у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одного з компонентів, як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ий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входить до формули розрахунку пенсії. А це середня заробітна плата по Україні. Саме на 11% збільш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 xml:space="preserve">ується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середн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я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заробітн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а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плат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а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в Україні, як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а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врахову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валась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 для обчислення пенсій.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Отже,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к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оефіцієнт індексації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у 2021 році —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1,11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 </w:t>
      </w:r>
    </w:p>
    <w:p>
      <w:pPr>
        <w:pStyle w:val="Normal"/>
        <w:spacing w:lineRule="auto" w:line="276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  <w:lang w:val="uk-UA"/>
        </w:rPr>
        <w:tab/>
        <w:t xml:space="preserve">Також 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при обчисленні трудової пенсії 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врахову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ю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ться 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коефіцієнти 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страхов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ого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 стаж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у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 та заробітн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ої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 плат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и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, з якої сплачені страхові внески. А ці два показника у кожного пенсіонера індивідуальні. Тож і розмір підвищення 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у кожного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 xml:space="preserve"> різний, все залежить від даних, які знаходяться у пенсійній справі. </w:t>
      </w:r>
      <w:r>
        <w:rPr>
          <w:rFonts w:eastAsia="SimSun" w:cs="Mangal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hi-IN"/>
        </w:rPr>
        <w:t>Але підвищення не може бути менше 100 гривень. Крім того, якщо пенсіонери — чоловіки мають страховий стаж 35 років, а жінки — 30 років, а їх пенсійна виплата менша за 2200 гривень, у такому випадку їм пров</w:t>
      </w:r>
      <w:r>
        <w:rPr>
          <w:rFonts w:eastAsia="SimSun" w:cs="Mangal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hi-IN"/>
        </w:rPr>
        <w:t>е</w:t>
      </w:r>
      <w:r>
        <w:rPr>
          <w:rFonts w:eastAsia="SimSun" w:cs="Mangal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hi-IN"/>
        </w:rPr>
        <w:t>д</w:t>
      </w:r>
      <w:r>
        <w:rPr>
          <w:rFonts w:eastAsia="SimSun" w:cs="Mangal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hi-IN"/>
        </w:rPr>
        <w:t>ена</w:t>
      </w:r>
      <w:r>
        <w:rPr>
          <w:rFonts w:eastAsia="SimSun" w:cs="Mangal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hi-IN"/>
        </w:rPr>
        <w:t xml:space="preserve"> доплата саме до цієї суми.</w:t>
      </w:r>
    </w:p>
    <w:p>
      <w:pPr>
        <w:pStyle w:val="Normal"/>
        <w:spacing w:lineRule="auto" w:line="276"/>
        <w:ind w:left="0" w:right="0" w:firstLine="850"/>
        <w:jc w:val="both"/>
        <w:rPr>
          <w:rFonts w:ascii="Times New Roman" w:hAnsi="Times New Roman" w:eastAsia="SimSun" w:cs="Mangal"/>
          <w:color w:val="000000"/>
          <w:kern w:val="2"/>
          <w:shd w:fill="auto" w:val="clear"/>
          <w:lang w:val="uk-UA" w:eastAsia="zh-CN" w:bidi="hi-IN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ind w:left="0" w:right="0" w:firstLine="850"/>
        <w:jc w:val="both"/>
        <w:rPr/>
      </w:pPr>
      <w:r>
        <w:rPr>
          <w:rFonts w:eastAsia="SimSun" w:cs="Mangal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hi-IN"/>
        </w:rPr>
        <w:t>Чи проведена індексація пенсіонерам, які  продовжують працювати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>?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 xml:space="preserve">Так, індексація проведена як не працюючим пенсіонерам, так і тим, хто  продовжує працювати після виходу на пенсію. Але не 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індексуються пенсії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uk-UA"/>
        </w:rPr>
        <w:t>: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850"/>
        <w:jc w:val="both"/>
        <w:rPr>
          <w:rFonts w:ascii="Times New Roman" w:hAnsi="Times New Roman" w:eastAsia="SimSun" w:cs="Mangal"/>
          <w:b w:val="false"/>
          <w:b w:val="false"/>
          <w:bCs w:val="false"/>
          <w:color w:val="auto"/>
          <w:kern w:val="2"/>
          <w:sz w:val="28"/>
          <w:szCs w:val="28"/>
          <w:shd w:fill="auto" w:val="clear"/>
          <w:lang w:val="uk-UA" w:eastAsia="zh-CN" w:bidi="hi-IN"/>
        </w:rPr>
      </w:pP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 xml:space="preserve">отримувачів спецпенсій 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en-US" w:eastAsia="zh-CN" w:bidi="hi-IN"/>
        </w:rPr>
        <w:t>(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держслужбовців, наукових працівників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en-US" w:eastAsia="zh-CN" w:bidi="hi-IN"/>
        </w:rPr>
        <w:t xml:space="preserve">) 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або довічного утримання (судді);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850"/>
        <w:jc w:val="both"/>
        <w:rPr>
          <w:rFonts w:ascii="Times New Roman" w:hAnsi="Times New Roman" w:eastAsia="SimSun" w:cs="Mangal"/>
          <w:b w:val="false"/>
          <w:b w:val="false"/>
          <w:bCs w:val="false"/>
          <w:color w:val="auto"/>
          <w:kern w:val="2"/>
          <w:sz w:val="28"/>
          <w:szCs w:val="28"/>
          <w:shd w:fill="auto" w:val="clear"/>
          <w:lang w:val="uk-UA" w:eastAsia="zh-CN" w:bidi="hi-IN"/>
        </w:rPr>
      </w:pP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тим, кому виплату вперше призначили у 2019 -2021 році.</w:t>
      </w:r>
    </w:p>
    <w:p>
      <w:pPr>
        <w:pStyle w:val="Normal"/>
        <w:spacing w:lineRule="auto" w:line="276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eastAsia="SimSun" w:cs="Mangal" w:ascii="Times New Roman" w:hAnsi="Times New Roman"/>
          <w:color w:val="auto"/>
          <w:kern w:val="2"/>
          <w:sz w:val="28"/>
          <w:szCs w:val="28"/>
          <w:lang w:val="uk-UA" w:eastAsia="zh-CN" w:bidi="hi-IN"/>
        </w:rPr>
        <w:t>Зазначу,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 перерахунку пенсій ми постійно </w:t>
      </w:r>
      <w:r>
        <w:rPr>
          <w:rFonts w:ascii="Times New Roman" w:hAnsi="Times New Roman"/>
          <w:sz w:val="28"/>
          <w:szCs w:val="28"/>
          <w:lang w:val="uk-UA"/>
        </w:rPr>
        <w:t xml:space="preserve">перевіряємо </w:t>
      </w:r>
      <w:r>
        <w:rPr>
          <w:rFonts w:eastAsia="SimSun" w:cs="Mangal" w:ascii="Times New Roman" w:hAnsi="Times New Roman"/>
          <w:color w:val="auto"/>
          <w:kern w:val="2"/>
          <w:sz w:val="28"/>
          <w:szCs w:val="28"/>
          <w:lang w:val="uk-UA" w:eastAsia="zh-CN" w:bidi="hi-IN"/>
        </w:rPr>
        <w:t>пенсійні справи отримувачів спецпенсій  на доцільність переходу на пенсію на загальних підставах відповідно до Закону України “Про загальнообов’язкове державне пенсійне страхування”. Якщо факт доцільності підтверджується (розмір пенсії збільшиться)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 xml:space="preserve">, </w:t>
      </w:r>
      <w:r>
        <w:rPr>
          <w:rFonts w:eastAsia="SimSun" w:cs="Mangal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hi-IN"/>
        </w:rPr>
        <w:t>то відбувається автоматичний перехід з одного виду пенсії та інший.  А пенсії, призначені на загальних підставах, індексуються.</w:t>
      </w:r>
    </w:p>
    <w:p>
      <w:pPr>
        <w:pStyle w:val="Normal"/>
        <w:spacing w:lineRule="auto" w:line="276"/>
        <w:ind w:left="0" w:right="0" w:hanging="0"/>
        <w:jc w:val="both"/>
        <w:rPr>
          <w:rFonts w:eastAsia="SimSun" w:cs="Mangal"/>
          <w:b w:val="false"/>
          <w:b w:val="false"/>
          <w:bCs w:val="false"/>
          <w:color w:val="000000"/>
          <w:kern w:val="2"/>
          <w:shd w:fill="auto" w:val="clear"/>
          <w:lang w:val="uk-UA" w:eastAsia="zh-CN" w:bidi="hi-IN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lineRule="auto" w:line="276"/>
        <w:ind w:left="0" w:right="0" w:firstLine="85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 xml:space="preserve">Чи потрібно 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 xml:space="preserve">було 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 xml:space="preserve">звертатися до Пенсійного фонду для проведення індексації пенсії? </w:t>
      </w:r>
      <w:r>
        <w:rPr>
          <w:rFonts w:eastAsia="SimSun" w:cs="Mangal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hi-IN"/>
        </w:rPr>
        <w:t xml:space="preserve">Які результати 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>індексації пенсій у нашій області?</w:t>
      </w:r>
    </w:p>
    <w:p>
      <w:pPr>
        <w:pStyle w:val="Normal"/>
        <w:spacing w:lineRule="auto" w:line="276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Перерахунок пенсії </w:t>
      </w:r>
      <w:r>
        <w:rPr>
          <w:rFonts w:eastAsia="SimSun" w:cs="Mangal" w:ascii="Times New Roman" w:hAnsi="Times New Roman"/>
          <w:color w:val="auto"/>
          <w:kern w:val="2"/>
          <w:sz w:val="28"/>
          <w:szCs w:val="28"/>
          <w:lang w:val="uk-UA" w:eastAsia="zh-CN" w:bidi="hi-IN"/>
        </w:rPr>
        <w:t>проведено</w:t>
      </w:r>
      <w:r>
        <w:rPr>
          <w:rFonts w:ascii="Times New Roman" w:hAnsi="Times New Roman"/>
          <w:sz w:val="28"/>
          <w:szCs w:val="28"/>
          <w:lang w:val="uk-UA"/>
        </w:rPr>
        <w:t xml:space="preserve"> в автомати</w:t>
      </w:r>
      <w:r>
        <w:rPr>
          <w:rFonts w:eastAsia="SimSun" w:cs="Mangal" w:ascii="Times New Roman" w:hAnsi="Times New Roman"/>
          <w:color w:val="auto"/>
          <w:kern w:val="2"/>
          <w:sz w:val="28"/>
          <w:szCs w:val="28"/>
          <w:lang w:val="uk-UA" w:eastAsia="zh-CN" w:bidi="hi-IN"/>
        </w:rPr>
        <w:t>зованому</w:t>
      </w:r>
      <w:r>
        <w:rPr>
          <w:rFonts w:ascii="Times New Roman" w:hAnsi="Times New Roman"/>
          <w:sz w:val="28"/>
          <w:szCs w:val="28"/>
          <w:lang w:val="uk-UA"/>
        </w:rPr>
        <w:t xml:space="preserve"> режимі, без особистих звернень громадян до сервісних центрів Дніпропетровщини.</w:t>
      </w:r>
    </w:p>
    <w:p>
      <w:pPr>
        <w:pStyle w:val="Normal"/>
        <w:spacing w:lineRule="auto" w:line="276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ab/>
        <w:t>В області підвищення пенсійних виплат відбулося у майже 700 тис. осіб, середній розмір підвищення с</w:t>
      </w:r>
      <w:r>
        <w:rPr>
          <w:rFonts w:eastAsia="SimSun" w:cs="Mangal" w:ascii="Times New Roman" w:hAnsi="Times New Roman"/>
          <w:color w:val="auto"/>
          <w:kern w:val="2"/>
          <w:sz w:val="28"/>
          <w:szCs w:val="28"/>
          <w:lang w:val="uk-UA" w:eastAsia="zh-CN" w:bidi="hi-IN"/>
        </w:rPr>
        <w:t>тановив</w:t>
      </w:r>
      <w:r>
        <w:rPr>
          <w:rFonts w:ascii="Times New Roman" w:hAnsi="Times New Roman"/>
          <w:sz w:val="28"/>
          <w:szCs w:val="28"/>
          <w:lang w:val="uk-UA"/>
        </w:rPr>
        <w:t xml:space="preserve"> 354,44 грн. </w:t>
      </w:r>
    </w:p>
    <w:p>
      <w:pPr>
        <w:pStyle w:val="Normal"/>
        <w:spacing w:lineRule="auto" w:line="276"/>
        <w:ind w:left="0" w:right="0" w:firstLine="85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spacing w:lineRule="auto" w:line="276"/>
        <w:ind w:left="0" w:right="0" w:firstLine="85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Style18"/>
        <w:spacing w:lineRule="auto" w:line="276" w:before="0" w:after="0"/>
        <w:ind w:left="0" w:right="0" w:firstLine="851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8"/>
          <w:szCs w:val="28"/>
          <w:shd w:fill="auto" w:val="clear"/>
          <w:lang w:val="uk-UA"/>
        </w:rPr>
      </w:pPr>
      <w:r>
        <w:rPr>
          <w:rFonts w:ascii="Times New Roman" w:hAnsi="Times New Roman"/>
          <w:sz w:val="28"/>
          <w:szCs w:val="28"/>
          <w:shd w:fill="auto" w:val="clear"/>
          <w:lang w:val="uk-UA"/>
        </w:rPr>
      </w:r>
    </w:p>
    <w:p>
      <w:pPr>
        <w:pStyle w:val="Normal"/>
        <w:ind w:left="4876" w:right="0" w:hanging="0"/>
        <w:jc w:val="left"/>
        <w:rPr>
          <w:rFonts w:ascii="Times New Roman" w:hAnsi="Times New Roman"/>
          <w:b/>
          <w:b/>
          <w:bCs/>
          <w:lang w:val="uk-UA"/>
        </w:rPr>
      </w:pPr>
      <w:r>
        <w:rPr/>
      </w:r>
    </w:p>
    <w:sectPr>
      <w:type w:val="nextPage"/>
      <w:pgSz w:w="12240" w:h="15840"/>
      <w:pgMar w:left="1701" w:right="56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Символ нумерації"/>
    <w:qFormat/>
    <w:rPr/>
  </w:style>
  <w:style w:type="character" w:styleId="Style16">
    <w:name w:val="Маркери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LibreOffice/7.0.1.2$Windows_X86_64 LibreOffice_project/7cbcfc562f6eb6708b5ff7d7397325de9e764452</Application>
  <Pages>2</Pages>
  <Words>440</Words>
  <Characters>2851</Characters>
  <CharactersWithSpaces>3285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cp:lastPrinted>2021-03-15T10:08:03Z</cp:lastPrinted>
  <dcterms:modified xsi:type="dcterms:W3CDTF">2021-03-15T12:40:17Z</dcterms:modified>
  <cp:revision>15</cp:revision>
  <dc:subject/>
  <dc:title/>
</cp:coreProperties>
</file>